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0B" w:rsidRDefault="0031300B" w:rsidP="0031300B">
      <w:pPr>
        <w:jc w:val="center"/>
        <w:rPr>
          <w:rFonts w:ascii="Arial" w:eastAsiaTheme="majorEastAsia" w:hAnsi="Arial" w:cs="Arial"/>
          <w:color w:val="538135" w:themeColor="accent6" w:themeShade="BF"/>
          <w:lang w:val="fr-FR" w:eastAsia="fr-CA"/>
        </w:rPr>
      </w:pPr>
      <w:bookmarkStart w:id="0" w:name="_GoBack"/>
      <w:bookmarkEnd w:id="0"/>
      <w:r>
        <w:rPr>
          <w:noProof/>
          <w:lang w:val="en-CA" w:eastAsia="en-CA"/>
        </w:rPr>
        <w:drawing>
          <wp:inline distT="0" distB="0" distL="0" distR="0">
            <wp:extent cx="3768725" cy="1407381"/>
            <wp:effectExtent l="76200" t="76200" r="136525" b="135890"/>
            <wp:docPr id="76" name="Image 76" descr="http://files.conferencedestables.webnode.fr/200001134-d8ed7d9e81/Logo%20nouveau%20TCARO.jpg"/>
            <wp:cNvGraphicFramePr/>
            <a:graphic xmlns:a="http://schemas.openxmlformats.org/drawingml/2006/main">
              <a:graphicData uri="http://schemas.openxmlformats.org/drawingml/2006/picture">
                <pic:pic xmlns:pic="http://schemas.openxmlformats.org/drawingml/2006/picture">
                  <pic:nvPicPr>
                    <pic:cNvPr id="76" name="Image 76" descr="http://files.conferencedestables.webnode.fr/200001134-d8ed7d9e81/Logo%20nouveau%20TCAR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051" cy="1342525"/>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31300B" w:rsidRDefault="0031300B" w:rsidP="0031300B">
      <w:pPr>
        <w:jc w:val="center"/>
        <w:rPr>
          <w:rFonts w:ascii="Arial" w:eastAsiaTheme="majorEastAsia" w:hAnsi="Arial" w:cs="Arial"/>
          <w:color w:val="538135" w:themeColor="accent6" w:themeShade="BF"/>
          <w:lang w:val="fr-FR" w:eastAsia="fr-CA"/>
        </w:rPr>
      </w:pPr>
    </w:p>
    <w:p w:rsidR="00543948" w:rsidRDefault="00543948" w:rsidP="0031300B">
      <w:pPr>
        <w:jc w:val="center"/>
        <w:rPr>
          <w:rFonts w:ascii="Arial" w:eastAsiaTheme="majorEastAsia" w:hAnsi="Arial" w:cs="Arial"/>
          <w:color w:val="538135" w:themeColor="accent6" w:themeShade="BF"/>
          <w:lang w:val="fr-FR" w:eastAsia="fr-CA"/>
        </w:rPr>
      </w:pPr>
    </w:p>
    <w:p w:rsidR="0031300B" w:rsidRDefault="0031300B" w:rsidP="0031300B">
      <w:pPr>
        <w:jc w:val="center"/>
        <w:rPr>
          <w:rFonts w:ascii="Arial" w:eastAsiaTheme="majorEastAsia" w:hAnsi="Arial" w:cs="Arial"/>
          <w:b/>
          <w:sz w:val="40"/>
          <w:lang w:val="fr-FR" w:eastAsia="fr-CA"/>
        </w:rPr>
      </w:pPr>
      <w:r>
        <w:rPr>
          <w:rFonts w:ascii="Arial" w:eastAsiaTheme="majorEastAsia" w:hAnsi="Arial" w:cs="Arial"/>
          <w:b/>
          <w:sz w:val="40"/>
          <w:lang w:val="fr-FR" w:eastAsia="fr-CA"/>
        </w:rPr>
        <w:t xml:space="preserve">Fascicule des </w:t>
      </w:r>
      <w:r w:rsidR="00543948">
        <w:rPr>
          <w:rFonts w:ascii="Arial" w:eastAsiaTheme="majorEastAsia" w:hAnsi="Arial" w:cs="Arial"/>
          <w:b/>
          <w:sz w:val="40"/>
          <w:lang w:val="fr-FR" w:eastAsia="fr-CA"/>
        </w:rPr>
        <w:t>données</w:t>
      </w:r>
      <w:r>
        <w:rPr>
          <w:rFonts w:ascii="Arial" w:eastAsiaTheme="majorEastAsia" w:hAnsi="Arial" w:cs="Arial"/>
          <w:b/>
          <w:sz w:val="40"/>
          <w:lang w:val="fr-FR" w:eastAsia="fr-CA"/>
        </w:rPr>
        <w:t xml:space="preserve"> démographique</w:t>
      </w:r>
      <w:r w:rsidR="00543948">
        <w:rPr>
          <w:rFonts w:ascii="Arial" w:eastAsiaTheme="majorEastAsia" w:hAnsi="Arial" w:cs="Arial"/>
          <w:b/>
          <w:sz w:val="40"/>
          <w:lang w:val="fr-FR" w:eastAsia="fr-CA"/>
        </w:rPr>
        <w:t>s</w:t>
      </w:r>
      <w:r>
        <w:rPr>
          <w:rFonts w:ascii="Arial" w:eastAsiaTheme="majorEastAsia" w:hAnsi="Arial" w:cs="Arial"/>
          <w:b/>
          <w:sz w:val="40"/>
          <w:lang w:val="fr-FR" w:eastAsia="fr-CA"/>
        </w:rPr>
        <w:t xml:space="preserve"> des aînés en l’Outaouais et au Québec </w:t>
      </w:r>
    </w:p>
    <w:p w:rsidR="00560D51" w:rsidRDefault="00560D51" w:rsidP="0031300B">
      <w:pPr>
        <w:jc w:val="center"/>
        <w:rPr>
          <w:rFonts w:ascii="Arial" w:eastAsiaTheme="majorEastAsia" w:hAnsi="Arial" w:cs="Arial"/>
          <w:b/>
          <w:sz w:val="24"/>
          <w:lang w:val="fr-FR" w:eastAsia="fr-CA"/>
        </w:rPr>
      </w:pPr>
    </w:p>
    <w:p w:rsidR="0031300B" w:rsidRDefault="0031300B" w:rsidP="0031300B">
      <w:pPr>
        <w:jc w:val="center"/>
        <w:rPr>
          <w:rFonts w:ascii="Arial" w:eastAsiaTheme="majorEastAsia" w:hAnsi="Arial" w:cs="Arial"/>
          <w:b/>
          <w:sz w:val="28"/>
          <w:lang w:val="fr-FR" w:eastAsia="fr-CA"/>
        </w:rPr>
      </w:pPr>
      <w:r>
        <w:rPr>
          <w:rFonts w:ascii="Arial" w:eastAsiaTheme="majorEastAsia" w:hAnsi="Arial" w:cs="Arial"/>
          <w:b/>
          <w:sz w:val="28"/>
          <w:lang w:val="fr-FR" w:eastAsia="fr-CA"/>
        </w:rPr>
        <w:t xml:space="preserve">Présenté par </w:t>
      </w:r>
    </w:p>
    <w:p w:rsidR="0031300B" w:rsidRDefault="0031300B" w:rsidP="0031300B">
      <w:pPr>
        <w:jc w:val="center"/>
        <w:rPr>
          <w:rFonts w:ascii="Arial" w:eastAsiaTheme="majorEastAsia" w:hAnsi="Arial" w:cs="Arial"/>
          <w:b/>
          <w:sz w:val="28"/>
          <w:lang w:val="fr-FR" w:eastAsia="fr-CA"/>
        </w:rPr>
      </w:pPr>
      <w:r>
        <w:rPr>
          <w:rFonts w:ascii="Arial" w:eastAsiaTheme="majorEastAsia" w:hAnsi="Arial" w:cs="Arial"/>
          <w:b/>
          <w:sz w:val="28"/>
          <w:lang w:val="fr-FR" w:eastAsia="fr-CA"/>
        </w:rPr>
        <w:t>Véronique Fugère, agente de recherche, TCARO</w:t>
      </w:r>
    </w:p>
    <w:p w:rsidR="00543948" w:rsidRDefault="00543948" w:rsidP="00560D51">
      <w:pPr>
        <w:jc w:val="center"/>
        <w:rPr>
          <w:noProof/>
          <w:lang w:eastAsia="fr-CA"/>
        </w:rPr>
      </w:pPr>
    </w:p>
    <w:p w:rsidR="00543948" w:rsidRDefault="00543948" w:rsidP="00560D51">
      <w:pPr>
        <w:jc w:val="center"/>
        <w:rPr>
          <w:noProof/>
          <w:lang w:eastAsia="fr-CA"/>
        </w:rPr>
      </w:pPr>
    </w:p>
    <w:p w:rsidR="00543948" w:rsidRDefault="00560D51" w:rsidP="00560D51">
      <w:pPr>
        <w:jc w:val="center"/>
        <w:rPr>
          <w:noProof/>
          <w:lang w:eastAsia="fr-CA"/>
        </w:rPr>
      </w:pPr>
      <w:r>
        <w:rPr>
          <w:noProof/>
          <w:lang w:val="en-CA" w:eastAsia="en-CA"/>
        </w:rPr>
        <w:drawing>
          <wp:inline distT="0" distB="0" distL="0" distR="0" wp14:anchorId="011656A4" wp14:editId="55E5CD39">
            <wp:extent cx="3853153" cy="2026625"/>
            <wp:effectExtent l="76200" t="76200" r="128905" b="126365"/>
            <wp:docPr id="5" name="Image 5" descr="Résultats de recherche d'images pour «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opula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583" cy="20605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43948" w:rsidRPr="00560D51" w:rsidRDefault="00543948" w:rsidP="00560D51">
      <w:pPr>
        <w:jc w:val="center"/>
        <w:rPr>
          <w:noProof/>
          <w:lang w:eastAsia="fr-CA"/>
        </w:rPr>
      </w:pPr>
    </w:p>
    <w:p w:rsidR="0031300B" w:rsidRDefault="0031300B" w:rsidP="0031300B">
      <w:pPr>
        <w:shd w:val="clear" w:color="auto" w:fill="FFFFFF"/>
        <w:spacing w:after="0" w:line="360" w:lineRule="auto"/>
        <w:jc w:val="center"/>
        <w:textAlignment w:val="baseline"/>
        <w:rPr>
          <w:rFonts w:ascii="Arial" w:eastAsia="Times New Roman" w:hAnsi="Arial" w:cs="Arial"/>
          <w:lang w:eastAsia="fr-CA"/>
        </w:rPr>
      </w:pPr>
      <w:r>
        <w:rPr>
          <w:rFonts w:ascii="Arial" w:eastAsia="Times New Roman" w:hAnsi="Arial" w:cs="Arial"/>
          <w:bdr w:val="none" w:sz="0" w:space="0" w:color="auto" w:frame="1"/>
          <w:lang w:eastAsia="fr-CA"/>
        </w:rPr>
        <w:t>180 du Mont-Bleu, Gatineau (Québec) J8Z 3J5</w:t>
      </w:r>
    </w:p>
    <w:p w:rsidR="0031300B" w:rsidRDefault="0031300B" w:rsidP="0031300B">
      <w:pPr>
        <w:shd w:val="clear" w:color="auto" w:fill="FFFFFF"/>
        <w:spacing w:after="0" w:line="360" w:lineRule="auto"/>
        <w:jc w:val="center"/>
        <w:textAlignment w:val="baseline"/>
        <w:rPr>
          <w:rFonts w:ascii="Arial" w:eastAsia="Times New Roman" w:hAnsi="Arial" w:cs="Arial"/>
          <w:lang w:eastAsia="fr-CA"/>
        </w:rPr>
      </w:pPr>
      <w:r>
        <w:rPr>
          <w:rFonts w:ascii="Arial" w:eastAsia="Times New Roman" w:hAnsi="Arial" w:cs="Arial"/>
          <w:bdr w:val="none" w:sz="0" w:space="0" w:color="auto" w:frame="1"/>
          <w:lang w:eastAsia="fr-CA"/>
        </w:rPr>
        <w:t>Téléphone : 819-771-8391 poste 233</w:t>
      </w:r>
    </w:p>
    <w:p w:rsidR="00560D51" w:rsidRDefault="0031300B" w:rsidP="0031300B">
      <w:pPr>
        <w:shd w:val="clear" w:color="auto" w:fill="FFFFFF"/>
        <w:spacing w:after="0" w:line="360" w:lineRule="auto"/>
        <w:jc w:val="center"/>
        <w:textAlignment w:val="baseline"/>
        <w:rPr>
          <w:rFonts w:ascii="Arial" w:eastAsia="Times New Roman" w:hAnsi="Arial" w:cs="Arial"/>
          <w:bdr w:val="none" w:sz="0" w:space="0" w:color="auto" w:frame="1"/>
          <w:lang w:eastAsia="fr-CA"/>
        </w:rPr>
      </w:pPr>
      <w:r>
        <w:rPr>
          <w:rFonts w:ascii="Arial" w:eastAsia="Times New Roman" w:hAnsi="Arial" w:cs="Arial"/>
          <w:bdr w:val="none" w:sz="0" w:space="0" w:color="auto" w:frame="1"/>
          <w:lang w:eastAsia="fr-CA"/>
        </w:rPr>
        <w:t>Télécopieur : 819-778-8969</w:t>
      </w:r>
    </w:p>
    <w:p w:rsidR="00543948" w:rsidRDefault="00543948" w:rsidP="0031300B">
      <w:pPr>
        <w:shd w:val="clear" w:color="auto" w:fill="FFFFFF"/>
        <w:spacing w:after="0" w:line="360" w:lineRule="auto"/>
        <w:jc w:val="center"/>
        <w:textAlignment w:val="baseline"/>
        <w:rPr>
          <w:rFonts w:ascii="Arial" w:eastAsia="Times New Roman" w:hAnsi="Arial" w:cs="Arial"/>
          <w:bdr w:val="none" w:sz="0" w:space="0" w:color="auto" w:frame="1"/>
          <w:lang w:eastAsia="fr-CA"/>
        </w:rPr>
      </w:pPr>
      <w:r>
        <w:rPr>
          <w:rFonts w:ascii="Arial" w:eastAsia="Times New Roman" w:hAnsi="Arial" w:cs="Arial"/>
          <w:noProof/>
          <w:lang w:val="en-CA" w:eastAsia="en-CA"/>
        </w:rPr>
        <mc:AlternateContent>
          <mc:Choice Requires="wps">
            <w:drawing>
              <wp:anchor distT="0" distB="0" distL="114300" distR="114300" simplePos="0" relativeHeight="251663360" behindDoc="0" locked="0" layoutInCell="1" allowOverlap="1" wp14:anchorId="6FCFE877" wp14:editId="1616218F">
                <wp:simplePos x="0" y="0"/>
                <wp:positionH relativeFrom="column">
                  <wp:posOffset>5241235</wp:posOffset>
                </wp:positionH>
                <wp:positionV relativeFrom="paragraph">
                  <wp:posOffset>416449</wp:posOffset>
                </wp:positionV>
                <wp:extent cx="381663" cy="333955"/>
                <wp:effectExtent l="0" t="0" r="18415" b="28575"/>
                <wp:wrapNone/>
                <wp:docPr id="7" name="Ellipse 7"/>
                <wp:cNvGraphicFramePr/>
                <a:graphic xmlns:a="http://schemas.openxmlformats.org/drawingml/2006/main">
                  <a:graphicData uri="http://schemas.microsoft.com/office/word/2010/wordprocessingShape">
                    <wps:wsp>
                      <wps:cNvSpPr/>
                      <wps:spPr>
                        <a:xfrm>
                          <a:off x="0" y="0"/>
                          <a:ext cx="381663" cy="3339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1DA4F5" id="Ellipse 7" o:spid="_x0000_s1026" style="position:absolute;margin-left:412.7pt;margin-top:32.8pt;width:30.05pt;height:2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" fillcolor="white [3212]" strokecolor="white [3212]" strokeweight="1pt">
                <v:stroke joinstyle="miter"/>
              </v:oval>
            </w:pict>
          </mc:Fallback>
        </mc:AlternateContent>
      </w:r>
      <w:r>
        <w:rPr>
          <w:rFonts w:ascii="Arial" w:eastAsia="Times New Roman" w:hAnsi="Arial" w:cs="Arial"/>
          <w:bdr w:val="none" w:sz="0" w:space="0" w:color="auto" w:frame="1"/>
          <w:lang w:eastAsia="fr-CA"/>
        </w:rPr>
        <w:t>Courriel : </w:t>
      </w:r>
      <w:hyperlink r:id="rId10" w:history="1">
        <w:r>
          <w:rPr>
            <w:rStyle w:val="Lienhypertexte"/>
            <w:rFonts w:ascii="Arial" w:eastAsia="Times New Roman" w:hAnsi="Arial" w:cs="Arial"/>
            <w:color w:val="auto"/>
            <w:u w:val="none"/>
            <w:bdr w:val="none" w:sz="0" w:space="0" w:color="auto" w:frame="1"/>
            <w:lang w:eastAsia="fr-CA"/>
          </w:rPr>
          <w:t>administration-tcaro@videotron.ca</w:t>
        </w:r>
      </w:hyperlink>
      <w:r>
        <w:rPr>
          <w:rFonts w:ascii="Arial" w:eastAsia="Times New Roman" w:hAnsi="Arial" w:cs="Arial"/>
          <w:bdr w:val="none" w:sz="0" w:space="0" w:color="auto" w:frame="1"/>
          <w:lang w:eastAsia="fr-CA"/>
        </w:rPr>
        <w:t xml:space="preserve">  </w:t>
      </w:r>
    </w:p>
    <w:sdt>
      <w:sdtPr>
        <w:rPr>
          <w:rFonts w:asciiTheme="minorHAnsi" w:eastAsiaTheme="minorHAnsi" w:hAnsiTheme="minorHAnsi" w:cstheme="minorBidi"/>
          <w:color w:val="auto"/>
          <w:sz w:val="22"/>
          <w:szCs w:val="22"/>
          <w:lang w:val="fr-FR" w:eastAsia="en-US"/>
        </w:rPr>
        <w:id w:val="1184788322"/>
        <w:docPartObj>
          <w:docPartGallery w:val="Table of Contents"/>
          <w:docPartUnique/>
        </w:docPartObj>
      </w:sdtPr>
      <w:sdtEndPr/>
      <w:sdtContent>
        <w:p w:rsidR="00B00590" w:rsidRDefault="00B00590" w:rsidP="00B00590">
          <w:pPr>
            <w:pStyle w:val="En-ttedetabledesmatires"/>
            <w:jc w:val="center"/>
            <w:rPr>
              <w:rFonts w:ascii="Arial" w:hAnsi="Arial" w:cs="Arial"/>
              <w:b/>
              <w:color w:val="auto"/>
              <w:lang w:val="fr-FR"/>
            </w:rPr>
          </w:pPr>
          <w:r w:rsidRPr="00B00590">
            <w:rPr>
              <w:rFonts w:ascii="Arial" w:hAnsi="Arial" w:cs="Arial"/>
              <w:b/>
              <w:color w:val="auto"/>
              <w:lang w:val="fr-FR"/>
            </w:rPr>
            <w:t>Table des matières</w:t>
          </w:r>
        </w:p>
        <w:p w:rsidR="00B00590" w:rsidRDefault="00B00590" w:rsidP="00B00590">
          <w:pPr>
            <w:rPr>
              <w:lang w:val="fr-FR" w:eastAsia="fr-CA"/>
            </w:rPr>
          </w:pPr>
        </w:p>
        <w:p w:rsidR="00B00590" w:rsidRPr="004F3CDC" w:rsidRDefault="00B00590" w:rsidP="004F3CDC">
          <w:pPr>
            <w:spacing w:line="480" w:lineRule="auto"/>
            <w:rPr>
              <w:rFonts w:ascii="Arial" w:hAnsi="Arial" w:cs="Arial"/>
              <w:lang w:val="fr-FR" w:eastAsia="fr-CA"/>
            </w:rPr>
          </w:pPr>
        </w:p>
        <w:p w:rsidR="00B00590" w:rsidRDefault="00B00590" w:rsidP="004F3CDC">
          <w:pPr>
            <w:pStyle w:val="TM1"/>
            <w:spacing w:line="480" w:lineRule="auto"/>
            <w:jc w:val="both"/>
            <w:rPr>
              <w:rFonts w:ascii="Arial" w:hAnsi="Arial" w:cs="Arial"/>
            </w:rPr>
          </w:pPr>
          <w:r w:rsidRPr="004F3CDC">
            <w:rPr>
              <w:rFonts w:ascii="Arial" w:hAnsi="Arial" w:cs="Arial"/>
              <w:b/>
              <w:bCs/>
            </w:rPr>
            <w:t>1. Introduction</w:t>
          </w:r>
          <w:r w:rsidRPr="005F6749">
            <w:rPr>
              <w:rFonts w:ascii="Arial" w:hAnsi="Arial" w:cs="Arial"/>
            </w:rPr>
            <w:ptab w:relativeTo="margin" w:alignment="right" w:leader="dot"/>
          </w:r>
          <w:r w:rsidR="005F6749">
            <w:rPr>
              <w:rFonts w:ascii="Arial" w:hAnsi="Arial" w:cs="Arial"/>
            </w:rPr>
            <w:t>3</w:t>
          </w:r>
        </w:p>
        <w:p w:rsidR="004F3CDC" w:rsidRPr="004F3CDC" w:rsidRDefault="004F3CDC" w:rsidP="004F3CDC">
          <w:pPr>
            <w:rPr>
              <w:lang w:eastAsia="fr-CA"/>
            </w:rPr>
          </w:pPr>
        </w:p>
        <w:p w:rsidR="00B00590" w:rsidRPr="005F6749" w:rsidRDefault="00B00590" w:rsidP="004F3CDC">
          <w:pPr>
            <w:pStyle w:val="TM1"/>
            <w:spacing w:line="480" w:lineRule="auto"/>
            <w:jc w:val="both"/>
            <w:rPr>
              <w:rFonts w:ascii="Arial" w:hAnsi="Arial" w:cs="Arial"/>
              <w:bCs/>
            </w:rPr>
          </w:pPr>
          <w:r w:rsidRPr="004F3CDC">
            <w:rPr>
              <w:rFonts w:ascii="Arial" w:hAnsi="Arial" w:cs="Arial"/>
              <w:b/>
              <w:bCs/>
              <w:lang w:val="fr-FR"/>
            </w:rPr>
            <w:t>2. Démographie des aînés en Outaouais</w:t>
          </w:r>
          <w:r w:rsidRPr="004F3CDC">
            <w:rPr>
              <w:rFonts w:ascii="Arial" w:hAnsi="Arial" w:cs="Arial"/>
            </w:rPr>
            <w:ptab w:relativeTo="margin" w:alignment="right" w:leader="dot"/>
          </w:r>
          <w:r w:rsidR="005F6749">
            <w:rPr>
              <w:rFonts w:ascii="Arial" w:hAnsi="Arial" w:cs="Arial"/>
            </w:rPr>
            <w:t>4-8</w:t>
          </w:r>
        </w:p>
        <w:p w:rsidR="00B910B6" w:rsidRPr="004F3CDC" w:rsidRDefault="004F3CDC" w:rsidP="004F3CDC">
          <w:pPr>
            <w:pStyle w:val="TM3"/>
            <w:rPr>
              <w:b w:val="0"/>
              <w:lang w:val="fr-FR"/>
            </w:rPr>
          </w:pPr>
          <w:r w:rsidRPr="004F3CDC">
            <w:rPr>
              <w:b w:val="0"/>
            </w:rPr>
            <w:tab/>
          </w:r>
          <w:r w:rsidR="005F6749">
            <w:rPr>
              <w:b w:val="0"/>
            </w:rPr>
            <w:t>2.1</w:t>
          </w:r>
          <w:r w:rsidR="00B910B6" w:rsidRPr="004F3CDC">
            <w:rPr>
              <w:b w:val="0"/>
            </w:rPr>
            <w:t xml:space="preserve"> Caractéristiques démographiques et globales en Outaouais</w:t>
          </w:r>
          <w:r w:rsidR="00B00590" w:rsidRPr="004F3CDC">
            <w:rPr>
              <w:b w:val="0"/>
            </w:rPr>
            <w:ptab w:relativeTo="margin" w:alignment="right" w:leader="dot"/>
          </w:r>
          <w:r w:rsidR="005F6749">
            <w:rPr>
              <w:b w:val="0"/>
              <w:lang w:val="fr-FR"/>
            </w:rPr>
            <w:t>5</w:t>
          </w:r>
        </w:p>
        <w:p w:rsidR="00B910B6" w:rsidRPr="004F3CDC" w:rsidRDefault="004F3CDC" w:rsidP="004F3CDC">
          <w:pPr>
            <w:pStyle w:val="TM3"/>
            <w:rPr>
              <w:b w:val="0"/>
              <w:lang w:val="fr-FR"/>
            </w:rPr>
          </w:pPr>
          <w:r w:rsidRPr="004F3CDC">
            <w:rPr>
              <w:b w:val="0"/>
            </w:rPr>
            <w:tab/>
          </w:r>
          <w:r w:rsidR="005F6749">
            <w:rPr>
              <w:b w:val="0"/>
            </w:rPr>
            <w:t>2.2</w:t>
          </w:r>
          <w:r w:rsidR="00B910B6" w:rsidRPr="004F3CDC">
            <w:rPr>
              <w:b w:val="0"/>
            </w:rPr>
            <w:t xml:space="preserve"> Nombre d’aînés entre 2001 et 2015 en Outaouais</w:t>
          </w:r>
          <w:r w:rsidR="00B00590" w:rsidRPr="004F3CDC">
            <w:rPr>
              <w:b w:val="0"/>
            </w:rPr>
            <w:ptab w:relativeTo="margin" w:alignment="right" w:leader="dot"/>
          </w:r>
          <w:r w:rsidR="005F6749">
            <w:rPr>
              <w:b w:val="0"/>
              <w:lang w:val="fr-FR"/>
            </w:rPr>
            <w:t>6</w:t>
          </w:r>
        </w:p>
        <w:p w:rsidR="00B910B6" w:rsidRDefault="004F3CDC" w:rsidP="004F3CDC">
          <w:pPr>
            <w:pStyle w:val="TM3"/>
            <w:rPr>
              <w:b w:val="0"/>
            </w:rPr>
          </w:pPr>
          <w:r w:rsidRPr="004F3CDC">
            <w:rPr>
              <w:b w:val="0"/>
            </w:rPr>
            <w:tab/>
          </w:r>
          <w:r w:rsidR="005F6749">
            <w:rPr>
              <w:b w:val="0"/>
            </w:rPr>
            <w:t>2.3</w:t>
          </w:r>
          <w:r w:rsidR="00B910B6" w:rsidRPr="004F3CDC">
            <w:rPr>
              <w:b w:val="0"/>
            </w:rPr>
            <w:t xml:space="preserve"> Perspectives démographiques des aînés en Outaouais</w:t>
          </w:r>
          <w:r w:rsidR="005F6749">
            <w:rPr>
              <w:b w:val="0"/>
            </w:rPr>
            <w:t>………………...……7-8</w:t>
          </w:r>
        </w:p>
        <w:p w:rsidR="004F3CDC" w:rsidRPr="004F3CDC" w:rsidRDefault="004F3CDC" w:rsidP="004F3CDC">
          <w:pPr>
            <w:rPr>
              <w:lang w:eastAsia="fr-CA"/>
            </w:rPr>
          </w:pPr>
        </w:p>
        <w:p w:rsidR="00B910B6" w:rsidRPr="004F3CDC" w:rsidRDefault="00B910B6" w:rsidP="004F3CDC">
          <w:pPr>
            <w:spacing w:line="480" w:lineRule="auto"/>
            <w:rPr>
              <w:rFonts w:ascii="Arial" w:hAnsi="Arial" w:cs="Arial"/>
              <w:b/>
              <w:lang w:eastAsia="fr-CA"/>
            </w:rPr>
          </w:pPr>
          <w:r w:rsidRPr="004F3CDC">
            <w:rPr>
              <w:rFonts w:ascii="Arial" w:hAnsi="Arial" w:cs="Arial"/>
              <w:b/>
              <w:lang w:eastAsia="fr-CA"/>
            </w:rPr>
            <w:t>3. Démographie des aînés au Québec</w:t>
          </w:r>
          <w:r w:rsidRPr="005F6749">
            <w:rPr>
              <w:rFonts w:ascii="Arial" w:hAnsi="Arial" w:cs="Arial"/>
              <w:lang w:eastAsia="fr-CA"/>
            </w:rPr>
            <w:t>…………………………………</w:t>
          </w:r>
          <w:r w:rsidR="005F6749">
            <w:rPr>
              <w:rFonts w:ascii="Arial" w:hAnsi="Arial" w:cs="Arial"/>
              <w:lang w:eastAsia="fr-CA"/>
            </w:rPr>
            <w:t>.</w:t>
          </w:r>
          <w:r w:rsidRPr="005F6749">
            <w:rPr>
              <w:rFonts w:ascii="Arial" w:hAnsi="Arial" w:cs="Arial"/>
              <w:lang w:eastAsia="fr-CA"/>
            </w:rPr>
            <w:t>……</w:t>
          </w:r>
          <w:r w:rsidR="005F6749">
            <w:rPr>
              <w:rFonts w:ascii="Arial" w:hAnsi="Arial" w:cs="Arial"/>
              <w:lang w:eastAsia="fr-CA"/>
            </w:rPr>
            <w:t>..</w:t>
          </w:r>
          <w:r w:rsidRPr="005F6749">
            <w:rPr>
              <w:rFonts w:ascii="Arial" w:hAnsi="Arial" w:cs="Arial"/>
              <w:lang w:eastAsia="fr-CA"/>
            </w:rPr>
            <w:t>…</w:t>
          </w:r>
          <w:r w:rsidR="005F6749">
            <w:rPr>
              <w:rFonts w:ascii="Arial" w:hAnsi="Arial" w:cs="Arial"/>
              <w:lang w:eastAsia="fr-CA"/>
            </w:rPr>
            <w:t>..</w:t>
          </w:r>
          <w:r w:rsidRPr="005F6749">
            <w:rPr>
              <w:rFonts w:ascii="Arial" w:hAnsi="Arial" w:cs="Arial"/>
              <w:lang w:eastAsia="fr-CA"/>
            </w:rPr>
            <w:t>……</w:t>
          </w:r>
          <w:r w:rsidR="005F6749">
            <w:rPr>
              <w:rFonts w:ascii="Arial" w:hAnsi="Arial" w:cs="Arial"/>
              <w:lang w:eastAsia="fr-CA"/>
            </w:rPr>
            <w:t>9-15</w:t>
          </w:r>
        </w:p>
        <w:p w:rsidR="00B910B6" w:rsidRPr="004F3CDC" w:rsidRDefault="004F3CDC" w:rsidP="004F3CDC">
          <w:pPr>
            <w:spacing w:line="480" w:lineRule="auto"/>
            <w:rPr>
              <w:rFonts w:ascii="Arial" w:hAnsi="Arial" w:cs="Arial"/>
              <w:lang w:eastAsia="fr-CA"/>
            </w:rPr>
          </w:pPr>
          <w:r w:rsidRPr="004F3CDC">
            <w:rPr>
              <w:rFonts w:ascii="Arial" w:hAnsi="Arial" w:cs="Arial"/>
              <w:b/>
              <w:lang w:eastAsia="fr-CA"/>
            </w:rPr>
            <w:tab/>
          </w:r>
          <w:r w:rsidR="00B910B6" w:rsidRPr="004F3CDC">
            <w:rPr>
              <w:rFonts w:ascii="Arial" w:hAnsi="Arial" w:cs="Arial"/>
              <w:lang w:eastAsia="fr-CA"/>
            </w:rPr>
            <w:t>3.1 Caractéristiques démographiques et globales au Québec</w:t>
          </w:r>
          <w:r w:rsidR="005F6749">
            <w:rPr>
              <w:rFonts w:ascii="Arial" w:hAnsi="Arial" w:cs="Arial"/>
              <w:lang w:eastAsia="fr-CA"/>
            </w:rPr>
            <w:t>…………….……..10</w:t>
          </w:r>
        </w:p>
        <w:p w:rsidR="00B910B6" w:rsidRPr="004F3CDC" w:rsidRDefault="004F3CDC" w:rsidP="004F3CDC">
          <w:pPr>
            <w:spacing w:line="480" w:lineRule="auto"/>
            <w:rPr>
              <w:rFonts w:ascii="Arial" w:hAnsi="Arial" w:cs="Arial"/>
              <w:lang w:eastAsia="fr-CA"/>
            </w:rPr>
          </w:pPr>
          <w:r w:rsidRPr="004F3CDC">
            <w:rPr>
              <w:rFonts w:ascii="Arial" w:hAnsi="Arial" w:cs="Arial"/>
              <w:lang w:eastAsia="fr-CA"/>
            </w:rPr>
            <w:tab/>
          </w:r>
          <w:r w:rsidR="00B910B6" w:rsidRPr="004F3CDC">
            <w:rPr>
              <w:rFonts w:ascii="Arial" w:hAnsi="Arial" w:cs="Arial"/>
              <w:lang w:eastAsia="fr-CA"/>
            </w:rPr>
            <w:t>3.2 Démographie selon le sexe et l’âge</w:t>
          </w:r>
          <w:r w:rsidR="005F6749">
            <w:rPr>
              <w:rFonts w:ascii="Arial" w:hAnsi="Arial" w:cs="Arial"/>
              <w:lang w:eastAsia="fr-CA"/>
            </w:rPr>
            <w:t>………………………………………..……11</w:t>
          </w:r>
        </w:p>
        <w:p w:rsidR="00B910B6" w:rsidRPr="004F3CDC" w:rsidRDefault="004F3CDC" w:rsidP="004F3CDC">
          <w:pPr>
            <w:spacing w:line="480" w:lineRule="auto"/>
            <w:rPr>
              <w:rFonts w:ascii="Arial" w:hAnsi="Arial" w:cs="Arial"/>
              <w:lang w:eastAsia="fr-CA"/>
            </w:rPr>
          </w:pPr>
          <w:r w:rsidRPr="004F3CDC">
            <w:rPr>
              <w:rFonts w:ascii="Arial" w:hAnsi="Arial" w:cs="Arial"/>
              <w:lang w:eastAsia="fr-CA"/>
            </w:rPr>
            <w:tab/>
          </w:r>
          <w:r w:rsidR="00B910B6" w:rsidRPr="004F3CDC">
            <w:rPr>
              <w:rFonts w:ascii="Arial" w:hAnsi="Arial" w:cs="Arial"/>
              <w:lang w:eastAsia="fr-CA"/>
            </w:rPr>
            <w:t>3.3 Comparaison des groupes d’âge, selon le sexe</w:t>
          </w:r>
          <w:r w:rsidR="001A29FD">
            <w:rPr>
              <w:rFonts w:ascii="Arial" w:hAnsi="Arial" w:cs="Arial"/>
              <w:lang w:eastAsia="fr-CA"/>
            </w:rPr>
            <w:t xml:space="preserve">, </w:t>
          </w:r>
          <w:r w:rsidR="00B910B6" w:rsidRPr="004F3CDC">
            <w:rPr>
              <w:rFonts w:ascii="Arial" w:hAnsi="Arial" w:cs="Arial"/>
              <w:lang w:eastAsia="fr-CA"/>
            </w:rPr>
            <w:t>50 à 100 ans et plus</w:t>
          </w:r>
          <w:r w:rsidR="005F6749">
            <w:rPr>
              <w:rFonts w:ascii="Arial" w:hAnsi="Arial" w:cs="Arial"/>
              <w:lang w:eastAsia="fr-CA"/>
            </w:rPr>
            <w:t>…</w:t>
          </w:r>
          <w:r w:rsidR="001A29FD">
            <w:rPr>
              <w:rFonts w:ascii="Arial" w:hAnsi="Arial" w:cs="Arial"/>
              <w:lang w:eastAsia="fr-CA"/>
            </w:rPr>
            <w:t>...</w:t>
          </w:r>
          <w:r w:rsidR="005F6749">
            <w:rPr>
              <w:rFonts w:ascii="Arial" w:hAnsi="Arial" w:cs="Arial"/>
              <w:lang w:eastAsia="fr-CA"/>
            </w:rPr>
            <w:t>…12</w:t>
          </w:r>
        </w:p>
        <w:p w:rsidR="00B910B6" w:rsidRPr="004F3CDC" w:rsidRDefault="004F3CDC" w:rsidP="004F3CDC">
          <w:pPr>
            <w:spacing w:line="480" w:lineRule="auto"/>
            <w:rPr>
              <w:rFonts w:ascii="Arial" w:hAnsi="Arial" w:cs="Arial"/>
              <w:lang w:eastAsia="fr-CA"/>
            </w:rPr>
          </w:pPr>
          <w:r w:rsidRPr="004F3CDC">
            <w:rPr>
              <w:rFonts w:ascii="Arial" w:hAnsi="Arial" w:cs="Arial"/>
              <w:lang w:eastAsia="fr-CA"/>
            </w:rPr>
            <w:tab/>
          </w:r>
          <w:r w:rsidR="00B910B6" w:rsidRPr="004F3CDC">
            <w:rPr>
              <w:rFonts w:ascii="Arial" w:hAnsi="Arial" w:cs="Arial"/>
              <w:lang w:eastAsia="fr-CA"/>
            </w:rPr>
            <w:t>3.4 Évolution de la démographie entre 2001 et 2015</w:t>
          </w:r>
          <w:r w:rsidR="005F6749">
            <w:rPr>
              <w:rFonts w:ascii="Arial" w:hAnsi="Arial" w:cs="Arial"/>
              <w:lang w:eastAsia="fr-CA"/>
            </w:rPr>
            <w:t>………………………..…….13</w:t>
          </w:r>
        </w:p>
        <w:p w:rsidR="00BD7A2E" w:rsidRPr="004F3CDC" w:rsidRDefault="004F3CDC" w:rsidP="004F3CDC">
          <w:pPr>
            <w:spacing w:line="480" w:lineRule="auto"/>
            <w:rPr>
              <w:rFonts w:ascii="Arial" w:hAnsi="Arial" w:cs="Arial"/>
              <w:lang w:eastAsia="fr-CA"/>
            </w:rPr>
          </w:pPr>
          <w:r w:rsidRPr="004F3CDC">
            <w:rPr>
              <w:rFonts w:ascii="Arial" w:hAnsi="Arial" w:cs="Arial"/>
              <w:lang w:eastAsia="fr-CA"/>
            </w:rPr>
            <w:tab/>
          </w:r>
          <w:r w:rsidR="00BD7A2E" w:rsidRPr="004F3CDC">
            <w:rPr>
              <w:rFonts w:ascii="Arial" w:hAnsi="Arial" w:cs="Arial"/>
              <w:lang w:eastAsia="fr-CA"/>
            </w:rPr>
            <w:t>3.5 Projections démographiques, 2016 à 2061</w:t>
          </w:r>
          <w:r w:rsidR="005F6749">
            <w:rPr>
              <w:rFonts w:ascii="Arial" w:hAnsi="Arial" w:cs="Arial"/>
              <w:lang w:eastAsia="fr-CA"/>
            </w:rPr>
            <w:t>…………………………..…….14-15</w:t>
          </w:r>
        </w:p>
        <w:p w:rsidR="004F3CDC" w:rsidRDefault="004F3CDC" w:rsidP="004F3CDC">
          <w:pPr>
            <w:spacing w:after="0" w:line="480" w:lineRule="auto"/>
            <w:rPr>
              <w:rFonts w:ascii="Arial" w:hAnsi="Arial" w:cs="Arial"/>
              <w:lang w:eastAsia="fr-CA"/>
            </w:rPr>
          </w:pPr>
          <w:r w:rsidRPr="004F3CDC">
            <w:rPr>
              <w:rFonts w:ascii="Arial" w:hAnsi="Arial" w:cs="Arial"/>
              <w:lang w:eastAsia="fr-CA"/>
            </w:rPr>
            <w:tab/>
            <w:t>3.6 Nombre de personnes centenaires, 2010 et 2015</w:t>
          </w:r>
          <w:r w:rsidR="005F6749">
            <w:rPr>
              <w:rFonts w:ascii="Arial" w:hAnsi="Arial" w:cs="Arial"/>
              <w:lang w:eastAsia="fr-CA"/>
            </w:rPr>
            <w:t>…………………………….15</w:t>
          </w:r>
        </w:p>
        <w:p w:rsidR="004F3CDC" w:rsidRDefault="004F3CDC" w:rsidP="005F6749">
          <w:pPr>
            <w:spacing w:after="0" w:line="480" w:lineRule="auto"/>
            <w:jc w:val="both"/>
            <w:rPr>
              <w:rFonts w:ascii="Arial" w:hAnsi="Arial" w:cs="Arial"/>
              <w:lang w:eastAsia="fr-CA"/>
            </w:rPr>
          </w:pPr>
        </w:p>
        <w:p w:rsidR="004F3CDC" w:rsidRPr="005F6749" w:rsidRDefault="004F3CDC" w:rsidP="005F6749">
          <w:pPr>
            <w:spacing w:after="0" w:line="480" w:lineRule="auto"/>
            <w:jc w:val="both"/>
            <w:rPr>
              <w:rFonts w:ascii="Arial" w:hAnsi="Arial" w:cs="Arial"/>
              <w:b/>
              <w:lang w:eastAsia="fr-CA"/>
            </w:rPr>
          </w:pPr>
          <w:r w:rsidRPr="005F6749">
            <w:rPr>
              <w:rFonts w:ascii="Arial" w:hAnsi="Arial" w:cs="Arial"/>
              <w:b/>
              <w:lang w:eastAsia="fr-CA"/>
            </w:rPr>
            <w:t xml:space="preserve">4. </w:t>
          </w:r>
          <w:r w:rsidR="005F6749" w:rsidRPr="005F6749">
            <w:rPr>
              <w:rFonts w:ascii="Arial" w:hAnsi="Arial" w:cs="Arial"/>
              <w:b/>
              <w:lang w:eastAsia="fr-CA"/>
            </w:rPr>
            <w:t>Comparaisons entre la population en Outaouais, les municipalités régionales de comté (MRC) et le Québec</w:t>
          </w:r>
          <w:r w:rsidR="005F6749" w:rsidRPr="005F6749">
            <w:rPr>
              <w:rFonts w:ascii="Arial" w:hAnsi="Arial" w:cs="Arial"/>
              <w:lang w:eastAsia="fr-CA"/>
            </w:rPr>
            <w:t>………………………………………………………………..</w:t>
          </w:r>
          <w:r w:rsidR="005F6749">
            <w:rPr>
              <w:rFonts w:ascii="Arial" w:hAnsi="Arial" w:cs="Arial"/>
              <w:lang w:eastAsia="fr-CA"/>
            </w:rPr>
            <w:t>16-17</w:t>
          </w:r>
        </w:p>
        <w:p w:rsidR="004F3CDC" w:rsidRPr="004F3CDC" w:rsidRDefault="004F3CDC" w:rsidP="004F3CDC">
          <w:pPr>
            <w:spacing w:after="0" w:line="480" w:lineRule="auto"/>
            <w:rPr>
              <w:rFonts w:ascii="Arial" w:hAnsi="Arial" w:cs="Arial"/>
              <w:lang w:eastAsia="fr-CA"/>
            </w:rPr>
          </w:pPr>
        </w:p>
        <w:p w:rsidR="004F3CDC" w:rsidRPr="004F3CDC" w:rsidRDefault="004F3CDC" w:rsidP="004F3CDC">
          <w:pPr>
            <w:spacing w:after="0" w:line="480" w:lineRule="auto"/>
            <w:rPr>
              <w:rFonts w:ascii="Arial" w:hAnsi="Arial" w:cs="Arial"/>
              <w:b/>
              <w:lang w:eastAsia="fr-CA"/>
            </w:rPr>
          </w:pPr>
          <w:r>
            <w:rPr>
              <w:rFonts w:ascii="Arial" w:hAnsi="Arial" w:cs="Arial"/>
              <w:b/>
              <w:lang w:eastAsia="fr-CA"/>
            </w:rPr>
            <w:t>5</w:t>
          </w:r>
          <w:r w:rsidRPr="004F3CDC">
            <w:rPr>
              <w:rFonts w:ascii="Arial" w:hAnsi="Arial" w:cs="Arial"/>
              <w:b/>
              <w:lang w:eastAsia="fr-CA"/>
            </w:rPr>
            <w:t>. Conclusion</w:t>
          </w:r>
          <w:r w:rsidR="005F6749" w:rsidRPr="005F6749">
            <w:rPr>
              <w:rFonts w:ascii="Arial" w:hAnsi="Arial" w:cs="Arial"/>
              <w:lang w:eastAsia="fr-CA"/>
            </w:rPr>
            <w:t>………………………………</w:t>
          </w:r>
          <w:r w:rsidR="005F6749">
            <w:rPr>
              <w:rFonts w:ascii="Arial" w:hAnsi="Arial" w:cs="Arial"/>
              <w:lang w:eastAsia="fr-CA"/>
            </w:rPr>
            <w:t>.</w:t>
          </w:r>
          <w:r w:rsidR="005F6749" w:rsidRPr="005F6749">
            <w:rPr>
              <w:rFonts w:ascii="Arial" w:hAnsi="Arial" w:cs="Arial"/>
              <w:lang w:eastAsia="fr-CA"/>
            </w:rPr>
            <w:t>…………………………………………………</w:t>
          </w:r>
          <w:r w:rsidR="005F6749">
            <w:rPr>
              <w:rFonts w:ascii="Arial" w:hAnsi="Arial" w:cs="Arial"/>
              <w:lang w:eastAsia="fr-CA"/>
            </w:rPr>
            <w:t>18</w:t>
          </w:r>
        </w:p>
        <w:p w:rsidR="00B00590" w:rsidRPr="004F3CDC" w:rsidRDefault="00B02FB3" w:rsidP="004F3CDC">
          <w:pPr>
            <w:rPr>
              <w:lang w:eastAsia="fr-CA"/>
            </w:rPr>
          </w:pPr>
        </w:p>
      </w:sdtContent>
    </w:sdt>
    <w:tbl>
      <w:tblPr>
        <w:tblStyle w:val="Grilledutableau"/>
        <w:tblW w:w="0" w:type="auto"/>
        <w:tblInd w:w="0" w:type="dxa"/>
        <w:tblLook w:val="04A0" w:firstRow="1" w:lastRow="0" w:firstColumn="1" w:lastColumn="0" w:noHBand="0" w:noVBand="1"/>
      </w:tblPr>
      <w:tblGrid>
        <w:gridCol w:w="8630"/>
      </w:tblGrid>
      <w:tr w:rsidR="00460316" w:rsidTr="00C133CE">
        <w:tc>
          <w:tcPr>
            <w:tcW w:w="8630" w:type="dxa"/>
            <w:shd w:val="clear" w:color="auto" w:fill="000000" w:themeFill="text1"/>
          </w:tcPr>
          <w:p w:rsidR="00460316" w:rsidRDefault="00460316" w:rsidP="00460316">
            <w:pPr>
              <w:tabs>
                <w:tab w:val="left" w:pos="0"/>
              </w:tabs>
              <w:spacing w:line="240" w:lineRule="auto"/>
              <w:contextualSpacing/>
              <w:jc w:val="center"/>
              <w:rPr>
                <w:rFonts w:ascii="Arial" w:eastAsia="Gill Sans MT" w:hAnsi="Arial" w:cs="Arial"/>
                <w:b/>
                <w:sz w:val="28"/>
              </w:rPr>
            </w:pPr>
          </w:p>
          <w:p w:rsidR="00460316" w:rsidRDefault="00C133CE" w:rsidP="00460316">
            <w:pPr>
              <w:tabs>
                <w:tab w:val="left" w:pos="0"/>
              </w:tabs>
              <w:spacing w:line="240" w:lineRule="auto"/>
              <w:contextualSpacing/>
              <w:jc w:val="center"/>
              <w:rPr>
                <w:rFonts w:ascii="Arial" w:eastAsia="Gill Sans MT" w:hAnsi="Arial" w:cs="Arial"/>
                <w:b/>
                <w:color w:val="FFFFFF" w:themeColor="background1"/>
                <w:sz w:val="28"/>
              </w:rPr>
            </w:pPr>
            <w:r>
              <w:rPr>
                <w:rFonts w:ascii="Arial" w:eastAsia="Gill Sans MT" w:hAnsi="Arial" w:cs="Arial"/>
                <w:b/>
                <w:color w:val="FFFFFF" w:themeColor="background1"/>
                <w:sz w:val="28"/>
              </w:rPr>
              <w:t xml:space="preserve">1. </w:t>
            </w:r>
            <w:r w:rsidR="00460316" w:rsidRPr="00460316">
              <w:rPr>
                <w:rFonts w:ascii="Arial" w:eastAsia="Gill Sans MT" w:hAnsi="Arial" w:cs="Arial"/>
                <w:b/>
                <w:color w:val="FFFFFF" w:themeColor="background1"/>
                <w:sz w:val="28"/>
              </w:rPr>
              <w:t xml:space="preserve">Introduction </w:t>
            </w:r>
          </w:p>
          <w:p w:rsidR="00460316" w:rsidRPr="00460316" w:rsidRDefault="00460316" w:rsidP="00460316">
            <w:pPr>
              <w:tabs>
                <w:tab w:val="left" w:pos="0"/>
              </w:tabs>
              <w:spacing w:line="240" w:lineRule="auto"/>
              <w:contextualSpacing/>
              <w:jc w:val="center"/>
              <w:rPr>
                <w:rFonts w:ascii="Arial" w:eastAsia="Gill Sans MT" w:hAnsi="Arial" w:cs="Arial"/>
                <w:b/>
                <w:color w:val="FFFFFF" w:themeColor="background1"/>
                <w:sz w:val="28"/>
              </w:rPr>
            </w:pPr>
          </w:p>
        </w:tc>
      </w:tr>
    </w:tbl>
    <w:p w:rsidR="00460316" w:rsidRDefault="00460316" w:rsidP="00197C23">
      <w:pPr>
        <w:tabs>
          <w:tab w:val="left" w:pos="0"/>
        </w:tabs>
        <w:spacing w:line="360" w:lineRule="auto"/>
        <w:contextualSpacing/>
        <w:jc w:val="both"/>
        <w:rPr>
          <w:rFonts w:ascii="Arial" w:eastAsia="Gill Sans MT" w:hAnsi="Arial" w:cs="Arial"/>
        </w:rPr>
      </w:pPr>
    </w:p>
    <w:p w:rsidR="0052095F" w:rsidRDefault="0052095F" w:rsidP="00197C23">
      <w:pPr>
        <w:tabs>
          <w:tab w:val="left" w:pos="0"/>
        </w:tabs>
        <w:spacing w:line="360" w:lineRule="auto"/>
        <w:contextualSpacing/>
        <w:jc w:val="both"/>
        <w:rPr>
          <w:rFonts w:ascii="Arial" w:eastAsia="Gill Sans MT" w:hAnsi="Arial" w:cs="Arial"/>
        </w:rPr>
      </w:pPr>
    </w:p>
    <w:p w:rsidR="0052095F" w:rsidRDefault="0052095F" w:rsidP="00197C23">
      <w:pPr>
        <w:tabs>
          <w:tab w:val="left" w:pos="0"/>
        </w:tabs>
        <w:spacing w:line="360" w:lineRule="auto"/>
        <w:contextualSpacing/>
        <w:jc w:val="both"/>
        <w:rPr>
          <w:rFonts w:ascii="Arial" w:eastAsia="Gill Sans MT" w:hAnsi="Arial" w:cs="Arial"/>
        </w:rPr>
      </w:pPr>
    </w:p>
    <w:p w:rsidR="00197C23" w:rsidRPr="00197C23" w:rsidRDefault="0090610E" w:rsidP="00197C23">
      <w:pPr>
        <w:tabs>
          <w:tab w:val="left" w:pos="0"/>
        </w:tabs>
        <w:spacing w:line="360" w:lineRule="auto"/>
        <w:contextualSpacing/>
        <w:jc w:val="both"/>
        <w:rPr>
          <w:rFonts w:ascii="Arial" w:eastAsia="Gill Sans MT" w:hAnsi="Arial" w:cs="Arial"/>
        </w:rPr>
      </w:pPr>
      <w:r>
        <w:rPr>
          <w:rFonts w:ascii="Arial" w:eastAsia="Gill Sans MT" w:hAnsi="Arial" w:cs="Arial"/>
        </w:rPr>
        <w:t>L</w:t>
      </w:r>
      <w:r w:rsidR="00197C23">
        <w:rPr>
          <w:rFonts w:ascii="Arial" w:eastAsia="Gill Sans MT" w:hAnsi="Arial" w:cs="Arial"/>
        </w:rPr>
        <w:t>es données démographiques au Québec, en Outaouais et ses cinq mu</w:t>
      </w:r>
      <w:r>
        <w:rPr>
          <w:rFonts w:ascii="Arial" w:eastAsia="Gill Sans MT" w:hAnsi="Arial" w:cs="Arial"/>
        </w:rPr>
        <w:t>nicipalités régionales de comté</w:t>
      </w:r>
      <w:r w:rsidR="00197C23">
        <w:rPr>
          <w:rFonts w:ascii="Arial" w:eastAsia="Gill Sans MT" w:hAnsi="Arial" w:cs="Arial"/>
        </w:rPr>
        <w:t xml:space="preserve"> (Gatineau, Vallée-de-la-Gatineau, Collines de l’Outaouais, Pontiac ainsi que Papineau)</w:t>
      </w:r>
      <w:r>
        <w:rPr>
          <w:rFonts w:ascii="Arial" w:eastAsia="Gill Sans MT" w:hAnsi="Arial" w:cs="Arial"/>
        </w:rPr>
        <w:t xml:space="preserve"> seront élaborées dans ce présent document</w:t>
      </w:r>
      <w:r w:rsidR="00197C23">
        <w:rPr>
          <w:rFonts w:ascii="Arial" w:eastAsia="Gill Sans MT" w:hAnsi="Arial" w:cs="Arial"/>
        </w:rPr>
        <w:t xml:space="preserve">. Plusieurs comparaisons seront effectuées, notamment entre les régions, les catégories d’âge et selon le sexe. </w:t>
      </w:r>
      <w:r w:rsidR="0052095F">
        <w:rPr>
          <w:rFonts w:ascii="Arial" w:eastAsia="Gill Sans MT" w:hAnsi="Arial" w:cs="Arial"/>
        </w:rPr>
        <w:t xml:space="preserve">Cette image permet de situer les régions ainsi que les </w:t>
      </w:r>
      <w:r w:rsidR="00C05B20">
        <w:rPr>
          <w:rFonts w:ascii="Arial" w:eastAsia="Gill Sans MT" w:hAnsi="Arial" w:cs="Arial"/>
        </w:rPr>
        <w:t xml:space="preserve">municipalités régionales de comté </w:t>
      </w:r>
      <w:r w:rsidR="0052095F">
        <w:rPr>
          <w:rFonts w:ascii="Arial" w:eastAsia="Gill Sans MT" w:hAnsi="Arial" w:cs="Arial"/>
        </w:rPr>
        <w:t xml:space="preserve">de l’Outaouais. </w:t>
      </w:r>
    </w:p>
    <w:p w:rsidR="0052095F" w:rsidRDefault="0052095F" w:rsidP="00D211DD">
      <w:pPr>
        <w:tabs>
          <w:tab w:val="left" w:pos="0"/>
        </w:tabs>
        <w:ind w:left="720" w:hanging="720"/>
        <w:contextualSpacing/>
        <w:jc w:val="center"/>
        <w:rPr>
          <w:rFonts w:ascii="Arial" w:eastAsia="Gill Sans MT" w:hAnsi="Arial" w:cs="Arial"/>
          <w:b/>
        </w:rPr>
      </w:pPr>
    </w:p>
    <w:p w:rsidR="0052095F" w:rsidRDefault="0052095F" w:rsidP="00D211DD">
      <w:pPr>
        <w:tabs>
          <w:tab w:val="left" w:pos="0"/>
        </w:tabs>
        <w:ind w:left="720" w:hanging="720"/>
        <w:contextualSpacing/>
        <w:jc w:val="center"/>
        <w:rPr>
          <w:rFonts w:ascii="Arial" w:eastAsia="Gill Sans MT" w:hAnsi="Arial" w:cs="Arial"/>
          <w:b/>
        </w:rPr>
      </w:pPr>
    </w:p>
    <w:p w:rsidR="00460316" w:rsidRDefault="0052095F" w:rsidP="00D211DD">
      <w:pPr>
        <w:tabs>
          <w:tab w:val="left" w:pos="0"/>
        </w:tabs>
        <w:ind w:left="720" w:hanging="720"/>
        <w:contextualSpacing/>
        <w:jc w:val="center"/>
        <w:rPr>
          <w:rFonts w:ascii="Arial" w:eastAsia="Gill Sans MT" w:hAnsi="Arial" w:cs="Arial"/>
          <w:b/>
        </w:rPr>
      </w:pPr>
      <w:r>
        <w:rPr>
          <w:noProof/>
          <w:lang w:val="en-CA" w:eastAsia="en-CA"/>
        </w:rPr>
        <w:drawing>
          <wp:inline distT="0" distB="0" distL="0" distR="0" wp14:anchorId="10C8E335" wp14:editId="2F7E43CE">
            <wp:extent cx="5325745" cy="4953663"/>
            <wp:effectExtent l="0" t="0" r="8255" b="0"/>
            <wp:docPr id="18" name="Image 18" descr="Résultats de recherche d'images pour « mrc outaoua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mrc outaouai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4950" cy="4971526"/>
                    </a:xfrm>
                    <a:prstGeom prst="rect">
                      <a:avLst/>
                    </a:prstGeom>
                    <a:noFill/>
                    <a:ln>
                      <a:noFill/>
                    </a:ln>
                  </pic:spPr>
                </pic:pic>
              </a:graphicData>
            </a:graphic>
          </wp:inline>
        </w:drawing>
      </w:r>
    </w:p>
    <w:tbl>
      <w:tblPr>
        <w:tblStyle w:val="Grilledutableau"/>
        <w:tblW w:w="0" w:type="auto"/>
        <w:tblInd w:w="-5" w:type="dxa"/>
        <w:tblLook w:val="04A0" w:firstRow="1" w:lastRow="0" w:firstColumn="1" w:lastColumn="0" w:noHBand="0" w:noVBand="1"/>
      </w:tblPr>
      <w:tblGrid>
        <w:gridCol w:w="8635"/>
      </w:tblGrid>
      <w:tr w:rsidR="00460316" w:rsidTr="00C133CE">
        <w:tc>
          <w:tcPr>
            <w:tcW w:w="8635" w:type="dxa"/>
            <w:shd w:val="clear" w:color="auto" w:fill="000000" w:themeFill="text1"/>
          </w:tcPr>
          <w:p w:rsidR="00460316" w:rsidRDefault="00460316" w:rsidP="00D211DD">
            <w:pPr>
              <w:tabs>
                <w:tab w:val="left" w:pos="0"/>
              </w:tabs>
              <w:contextualSpacing/>
              <w:jc w:val="center"/>
              <w:rPr>
                <w:rFonts w:ascii="Arial" w:eastAsia="Gill Sans MT" w:hAnsi="Arial" w:cs="Arial"/>
                <w:b/>
              </w:rPr>
            </w:pPr>
          </w:p>
          <w:p w:rsidR="00460316" w:rsidRPr="00460316" w:rsidRDefault="00C133CE" w:rsidP="00D211DD">
            <w:pPr>
              <w:tabs>
                <w:tab w:val="left" w:pos="0"/>
              </w:tabs>
              <w:contextualSpacing/>
              <w:jc w:val="center"/>
              <w:rPr>
                <w:rFonts w:ascii="Arial" w:eastAsia="Gill Sans MT" w:hAnsi="Arial" w:cs="Arial"/>
                <w:b/>
                <w:color w:val="FFFFFF" w:themeColor="background1"/>
                <w:sz w:val="28"/>
              </w:rPr>
            </w:pPr>
            <w:r>
              <w:rPr>
                <w:rFonts w:ascii="Arial" w:eastAsia="Gill Sans MT" w:hAnsi="Arial" w:cs="Arial"/>
                <w:b/>
                <w:color w:val="FFFFFF" w:themeColor="background1"/>
                <w:sz w:val="28"/>
              </w:rPr>
              <w:t xml:space="preserve">2. </w:t>
            </w:r>
            <w:r w:rsidR="00460316" w:rsidRPr="00460316">
              <w:rPr>
                <w:rFonts w:ascii="Arial" w:eastAsia="Gill Sans MT" w:hAnsi="Arial" w:cs="Arial"/>
                <w:b/>
                <w:color w:val="FFFFFF" w:themeColor="background1"/>
                <w:sz w:val="28"/>
              </w:rPr>
              <w:t>Démographie des aînés en Outaouais</w:t>
            </w:r>
          </w:p>
          <w:p w:rsidR="00460316" w:rsidRDefault="00460316" w:rsidP="00460316">
            <w:pPr>
              <w:tabs>
                <w:tab w:val="left" w:pos="0"/>
              </w:tabs>
              <w:ind w:hanging="923"/>
              <w:contextualSpacing/>
              <w:jc w:val="center"/>
              <w:rPr>
                <w:rFonts w:ascii="Arial" w:eastAsia="Gill Sans MT" w:hAnsi="Arial" w:cs="Arial"/>
                <w:b/>
              </w:rPr>
            </w:pPr>
          </w:p>
        </w:tc>
      </w:tr>
    </w:tbl>
    <w:p w:rsidR="00197C23" w:rsidRDefault="00197C23" w:rsidP="00D211DD">
      <w:pPr>
        <w:tabs>
          <w:tab w:val="left" w:pos="0"/>
        </w:tabs>
        <w:ind w:left="720" w:hanging="720"/>
        <w:contextualSpacing/>
        <w:jc w:val="center"/>
        <w:rPr>
          <w:rFonts w:ascii="Arial" w:eastAsia="Gill Sans MT" w:hAnsi="Arial" w:cs="Arial"/>
          <w:b/>
        </w:rPr>
      </w:pPr>
    </w:p>
    <w:p w:rsidR="00D211DD" w:rsidRDefault="00D211DD" w:rsidP="00D211DD">
      <w:pPr>
        <w:tabs>
          <w:tab w:val="left" w:pos="0"/>
        </w:tabs>
        <w:ind w:left="720" w:hanging="720"/>
        <w:contextualSpacing/>
        <w:jc w:val="both"/>
        <w:rPr>
          <w:rFonts w:ascii="Arial" w:eastAsia="Gill Sans MT" w:hAnsi="Arial" w:cs="Arial"/>
          <w:b/>
        </w:rPr>
      </w:pPr>
    </w:p>
    <w:p w:rsidR="00B330B2" w:rsidRDefault="00B330B2" w:rsidP="00D211DD">
      <w:pPr>
        <w:tabs>
          <w:tab w:val="left" w:pos="0"/>
        </w:tabs>
        <w:ind w:left="720" w:hanging="720"/>
        <w:contextualSpacing/>
        <w:jc w:val="both"/>
        <w:rPr>
          <w:rFonts w:ascii="Arial" w:eastAsia="Gill Sans MT" w:hAnsi="Arial" w:cs="Arial"/>
          <w:b/>
        </w:rPr>
      </w:pPr>
    </w:p>
    <w:p w:rsidR="00B330B2" w:rsidRDefault="00B330B2" w:rsidP="00B330B2">
      <w:pPr>
        <w:spacing w:line="360" w:lineRule="auto"/>
        <w:ind w:left="720" w:hanging="720"/>
        <w:contextualSpacing/>
        <w:jc w:val="both"/>
        <w:rPr>
          <w:rFonts w:ascii="Segoe UI" w:eastAsia="Calibri" w:hAnsi="Segoe UI" w:cs="Segoe UI"/>
          <w:i/>
          <w:sz w:val="16"/>
          <w:szCs w:val="20"/>
        </w:rPr>
      </w:pPr>
      <w:r>
        <w:rPr>
          <w:rFonts w:ascii="Arial" w:hAnsi="Arial" w:cs="Arial"/>
        </w:rPr>
        <w:t xml:space="preserve">Selon toutes les catégories d’âge ci-dessous, les femmes sont plus nombreuses que les </w:t>
      </w:r>
    </w:p>
    <w:p w:rsidR="00197C23" w:rsidRDefault="00B330B2" w:rsidP="0090610E">
      <w:pPr>
        <w:tabs>
          <w:tab w:val="left" w:pos="0"/>
        </w:tabs>
        <w:spacing w:after="0" w:line="360" w:lineRule="auto"/>
        <w:jc w:val="both"/>
        <w:rPr>
          <w:rFonts w:ascii="Arial" w:hAnsi="Arial" w:cs="Arial"/>
        </w:rPr>
      </w:pPr>
      <w:r>
        <w:rPr>
          <w:rFonts w:ascii="Arial" w:hAnsi="Arial" w:cs="Arial"/>
        </w:rPr>
        <w:t xml:space="preserve">hommes. Entre 60 et 69 ans, le nombre d’hommes et de femmes est similaire. Les différences entre le nombre d’individus chez les hommes et les femmes les plus marquées sont dans les catégories d’âge de 80 à 84 ans (1 275) ainsi que 85 ans et plus (1 985). Le nombre d’individus est décroissant en fonction de l’âge selon les deux sexes. </w:t>
      </w:r>
    </w:p>
    <w:p w:rsidR="0090610E" w:rsidRDefault="0090610E" w:rsidP="0090610E">
      <w:pPr>
        <w:tabs>
          <w:tab w:val="left" w:pos="0"/>
        </w:tabs>
        <w:spacing w:after="0" w:line="360" w:lineRule="auto"/>
        <w:jc w:val="both"/>
        <w:rPr>
          <w:rFonts w:ascii="Arial" w:hAnsi="Arial" w:cs="Arial"/>
        </w:rPr>
      </w:pPr>
    </w:p>
    <w:p w:rsidR="00B330B2" w:rsidRDefault="00B330B2" w:rsidP="0090610E">
      <w:pPr>
        <w:tabs>
          <w:tab w:val="left" w:pos="0"/>
        </w:tabs>
        <w:spacing w:after="0"/>
        <w:ind w:left="720" w:hanging="720"/>
        <w:contextualSpacing/>
        <w:jc w:val="both"/>
        <w:rPr>
          <w:rFonts w:ascii="Arial" w:eastAsia="Gill Sans MT" w:hAnsi="Arial" w:cs="Arial"/>
          <w:b/>
        </w:rPr>
      </w:pPr>
    </w:p>
    <w:p w:rsidR="00D211DD" w:rsidRPr="00D211DD" w:rsidRDefault="00D211DD" w:rsidP="0090610E">
      <w:pPr>
        <w:tabs>
          <w:tab w:val="left" w:pos="0"/>
        </w:tabs>
        <w:spacing w:after="0"/>
        <w:ind w:left="720" w:hanging="720"/>
        <w:contextualSpacing/>
        <w:jc w:val="both"/>
        <w:rPr>
          <w:rFonts w:ascii="Arial" w:eastAsia="Gill Sans MT" w:hAnsi="Arial" w:cs="Arial"/>
          <w:b/>
        </w:rPr>
      </w:pPr>
      <w:r w:rsidRPr="00D211DD">
        <w:rPr>
          <w:rFonts w:ascii="Arial" w:eastAsia="Gill Sans MT" w:hAnsi="Arial" w:cs="Arial"/>
          <w:b/>
        </w:rPr>
        <w:t>Outaouais: Nombre d’individus selon l’âge et le sexe</w:t>
      </w:r>
    </w:p>
    <w:p w:rsidR="00D211DD" w:rsidRDefault="00D211DD" w:rsidP="00D211DD">
      <w:pPr>
        <w:tabs>
          <w:tab w:val="left" w:pos="0"/>
        </w:tabs>
        <w:ind w:left="720" w:hanging="720"/>
        <w:contextualSpacing/>
        <w:jc w:val="both"/>
        <w:rPr>
          <w:rFonts w:ascii="Arial" w:eastAsia="Gill Sans MT" w:hAnsi="Arial" w:cs="Arial"/>
        </w:rPr>
      </w:pPr>
    </w:p>
    <w:p w:rsidR="00197C23" w:rsidRPr="00D211DD" w:rsidRDefault="00197C23" w:rsidP="00D211DD">
      <w:pPr>
        <w:tabs>
          <w:tab w:val="left" w:pos="0"/>
        </w:tabs>
        <w:ind w:left="720" w:hanging="720"/>
        <w:contextualSpacing/>
        <w:jc w:val="both"/>
        <w:rPr>
          <w:rFonts w:ascii="Arial" w:eastAsia="Gill Sans MT" w:hAnsi="Arial" w:cs="Arial"/>
        </w:rPr>
      </w:pPr>
    </w:p>
    <w:tbl>
      <w:tblPr>
        <w:tblStyle w:val="TableauListe7Couleur-Accentuation51"/>
        <w:tblW w:w="0" w:type="auto"/>
        <w:tblInd w:w="0" w:type="dxa"/>
        <w:tblLook w:val="04A0" w:firstRow="1" w:lastRow="0" w:firstColumn="1" w:lastColumn="0" w:noHBand="0" w:noVBand="1"/>
      </w:tblPr>
      <w:tblGrid>
        <w:gridCol w:w="2157"/>
        <w:gridCol w:w="2157"/>
        <w:gridCol w:w="2158"/>
        <w:gridCol w:w="2158"/>
      </w:tblGrid>
      <w:tr w:rsidR="00D211DD" w:rsidRPr="00D211DD" w:rsidTr="00D211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tcBorders>
              <w:top w:val="nil"/>
              <w:left w:val="nil"/>
            </w:tcBorders>
          </w:tcPr>
          <w:p w:rsidR="00D211DD" w:rsidRPr="00D211DD"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D211DD"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D211DD">
              <w:rPr>
                <w:rFonts w:ascii="Arial" w:eastAsia="Gill Sans MT" w:hAnsi="Arial" w:cs="Arial"/>
                <w:b/>
                <w:i w:val="0"/>
                <w:color w:val="auto"/>
                <w:sz w:val="22"/>
                <w:szCs w:val="22"/>
              </w:rPr>
              <w:t xml:space="preserve">Âge </w:t>
            </w:r>
          </w:p>
          <w:p w:rsidR="00D211DD" w:rsidRPr="00D211DD" w:rsidRDefault="00D211DD" w:rsidP="00D211DD">
            <w:pPr>
              <w:tabs>
                <w:tab w:val="left" w:pos="0"/>
              </w:tabs>
              <w:spacing w:line="240" w:lineRule="auto"/>
              <w:contextualSpacing/>
              <w:jc w:val="center"/>
              <w:rPr>
                <w:rFonts w:ascii="Arial" w:eastAsia="Gill Sans MT" w:hAnsi="Arial" w:cs="Arial"/>
                <w:b/>
                <w:i w:val="0"/>
                <w:color w:val="auto"/>
                <w:sz w:val="22"/>
                <w:szCs w:val="22"/>
              </w:rPr>
            </w:pPr>
          </w:p>
        </w:tc>
        <w:tc>
          <w:tcPr>
            <w:tcW w:w="2157" w:type="dxa"/>
            <w:tcBorders>
              <w:top w:val="nil"/>
              <w:left w:val="nil"/>
              <w:right w:val="nil"/>
            </w:tcBorders>
          </w:tcPr>
          <w:p w:rsidR="00D211DD" w:rsidRPr="00D211DD" w:rsidRDefault="00D211DD" w:rsidP="00D211DD">
            <w:pPr>
              <w:tabs>
                <w:tab w:val="left" w:pos="0"/>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Gill Sans MT" w:hAnsi="Arial" w:cs="Arial"/>
                <w:b/>
                <w:i w:val="0"/>
                <w:color w:val="auto"/>
                <w:sz w:val="22"/>
                <w:szCs w:val="22"/>
              </w:rPr>
            </w:pPr>
          </w:p>
          <w:p w:rsidR="00D211DD" w:rsidRPr="00D211DD" w:rsidRDefault="00D211DD" w:rsidP="00D211DD">
            <w:pPr>
              <w:tabs>
                <w:tab w:val="left" w:pos="0"/>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Gill Sans MT" w:hAnsi="Arial" w:cs="Arial"/>
                <w:b/>
                <w:i w:val="0"/>
                <w:color w:val="auto"/>
                <w:sz w:val="22"/>
                <w:szCs w:val="22"/>
              </w:rPr>
            </w:pPr>
            <w:r w:rsidRPr="00D211DD">
              <w:rPr>
                <w:rFonts w:ascii="Arial" w:eastAsia="Gill Sans MT" w:hAnsi="Arial" w:cs="Arial"/>
                <w:b/>
                <w:i w:val="0"/>
                <w:color w:val="auto"/>
                <w:sz w:val="22"/>
                <w:szCs w:val="22"/>
              </w:rPr>
              <w:t>Hommes</w:t>
            </w:r>
          </w:p>
        </w:tc>
        <w:tc>
          <w:tcPr>
            <w:tcW w:w="2158" w:type="dxa"/>
            <w:tcBorders>
              <w:top w:val="nil"/>
              <w:left w:val="nil"/>
              <w:right w:val="nil"/>
            </w:tcBorders>
          </w:tcPr>
          <w:p w:rsidR="00D211DD" w:rsidRPr="00D211DD" w:rsidRDefault="00D211DD" w:rsidP="00D211DD">
            <w:pPr>
              <w:tabs>
                <w:tab w:val="left" w:pos="0"/>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Gill Sans MT" w:hAnsi="Arial" w:cs="Arial"/>
                <w:b/>
                <w:i w:val="0"/>
                <w:color w:val="auto"/>
                <w:sz w:val="22"/>
                <w:szCs w:val="22"/>
              </w:rPr>
            </w:pPr>
          </w:p>
          <w:p w:rsidR="00D211DD" w:rsidRPr="00D211DD" w:rsidRDefault="00D211DD" w:rsidP="00D211DD">
            <w:pPr>
              <w:tabs>
                <w:tab w:val="left" w:pos="0"/>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Gill Sans MT" w:hAnsi="Arial" w:cs="Arial"/>
                <w:b/>
                <w:i w:val="0"/>
                <w:color w:val="auto"/>
                <w:sz w:val="22"/>
                <w:szCs w:val="22"/>
              </w:rPr>
            </w:pPr>
            <w:r w:rsidRPr="00D211DD">
              <w:rPr>
                <w:rFonts w:ascii="Arial" w:eastAsia="Gill Sans MT" w:hAnsi="Arial" w:cs="Arial"/>
                <w:b/>
                <w:i w:val="0"/>
                <w:color w:val="auto"/>
                <w:sz w:val="22"/>
                <w:szCs w:val="22"/>
              </w:rPr>
              <w:t>Femmes</w:t>
            </w:r>
          </w:p>
        </w:tc>
        <w:tc>
          <w:tcPr>
            <w:tcW w:w="2158" w:type="dxa"/>
            <w:tcBorders>
              <w:top w:val="nil"/>
              <w:left w:val="nil"/>
              <w:right w:val="nil"/>
            </w:tcBorders>
          </w:tcPr>
          <w:p w:rsidR="00D211DD" w:rsidRPr="00D211DD" w:rsidRDefault="00D211DD" w:rsidP="00D211DD">
            <w:pPr>
              <w:tabs>
                <w:tab w:val="left" w:pos="0"/>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Gill Sans MT" w:hAnsi="Arial" w:cs="Arial"/>
                <w:b/>
                <w:i w:val="0"/>
                <w:color w:val="auto"/>
                <w:sz w:val="22"/>
                <w:szCs w:val="22"/>
              </w:rPr>
            </w:pPr>
          </w:p>
          <w:p w:rsidR="00D211DD" w:rsidRPr="00D211DD" w:rsidRDefault="00D211DD" w:rsidP="00D211DD">
            <w:pPr>
              <w:tabs>
                <w:tab w:val="left" w:pos="0"/>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Gill Sans MT" w:hAnsi="Arial" w:cs="Arial"/>
                <w:b/>
                <w:i w:val="0"/>
                <w:color w:val="auto"/>
                <w:sz w:val="22"/>
                <w:szCs w:val="22"/>
              </w:rPr>
            </w:pPr>
            <w:r w:rsidRPr="00D211DD">
              <w:rPr>
                <w:rFonts w:ascii="Arial" w:eastAsia="Gill Sans MT" w:hAnsi="Arial" w:cs="Arial"/>
                <w:b/>
                <w:i w:val="0"/>
                <w:color w:val="auto"/>
                <w:sz w:val="22"/>
                <w:szCs w:val="22"/>
              </w:rPr>
              <w:t>Total</w:t>
            </w:r>
          </w:p>
        </w:tc>
      </w:tr>
      <w:tr w:rsidR="00D211DD" w:rsidRPr="00D211DD" w:rsidTr="00D211DD">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157" w:type="dxa"/>
            <w:tcBorders>
              <w:top w:val="nil"/>
              <w:left w:val="nil"/>
              <w:bottom w:val="nil"/>
            </w:tcBorders>
          </w:tcPr>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197C23">
              <w:rPr>
                <w:rFonts w:ascii="Arial" w:eastAsia="Gill Sans MT" w:hAnsi="Arial" w:cs="Arial"/>
                <w:b/>
                <w:i w:val="0"/>
                <w:color w:val="auto"/>
                <w:sz w:val="22"/>
                <w:szCs w:val="22"/>
              </w:rPr>
              <w:t>60 à 64 ans</w:t>
            </w:r>
          </w:p>
          <w:p w:rsidR="005E31E9" w:rsidRPr="00197C23" w:rsidRDefault="005E31E9" w:rsidP="00D211DD">
            <w:pPr>
              <w:tabs>
                <w:tab w:val="left" w:pos="0"/>
              </w:tabs>
              <w:spacing w:line="240" w:lineRule="auto"/>
              <w:contextualSpacing/>
              <w:jc w:val="center"/>
              <w:rPr>
                <w:rFonts w:ascii="Arial" w:eastAsia="Gill Sans MT" w:hAnsi="Arial" w:cs="Arial"/>
                <w:b/>
                <w:i w:val="0"/>
                <w:color w:val="auto"/>
                <w:sz w:val="22"/>
                <w:szCs w:val="22"/>
              </w:rPr>
            </w:pPr>
          </w:p>
        </w:tc>
        <w:tc>
          <w:tcPr>
            <w:tcW w:w="2157"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11 230 (49,66%)</w:t>
            </w:r>
          </w:p>
        </w:tc>
        <w:tc>
          <w:tcPr>
            <w:tcW w:w="2158"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11 385 (50,34%)</w:t>
            </w:r>
          </w:p>
        </w:tc>
        <w:tc>
          <w:tcPr>
            <w:tcW w:w="2158"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22 615</w:t>
            </w:r>
          </w:p>
        </w:tc>
      </w:tr>
      <w:tr w:rsidR="00D211DD" w:rsidRPr="00D211DD" w:rsidTr="00D211DD">
        <w:tc>
          <w:tcPr>
            <w:cnfStyle w:val="001000000000" w:firstRow="0" w:lastRow="0" w:firstColumn="1" w:lastColumn="0" w:oddVBand="0" w:evenVBand="0" w:oddHBand="0" w:evenHBand="0" w:firstRowFirstColumn="0" w:firstRowLastColumn="0" w:lastRowFirstColumn="0" w:lastRowLastColumn="0"/>
            <w:tcW w:w="2157" w:type="dxa"/>
            <w:tcBorders>
              <w:top w:val="nil"/>
              <w:left w:val="nil"/>
              <w:bottom w:val="nil"/>
            </w:tcBorders>
          </w:tcPr>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197C23">
              <w:rPr>
                <w:rFonts w:ascii="Arial" w:eastAsia="Gill Sans MT" w:hAnsi="Arial" w:cs="Arial"/>
                <w:b/>
                <w:i w:val="0"/>
                <w:color w:val="auto"/>
                <w:sz w:val="22"/>
                <w:szCs w:val="22"/>
              </w:rPr>
              <w:t>65 à 69 ans</w:t>
            </w: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tc>
        <w:tc>
          <w:tcPr>
            <w:tcW w:w="2157"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8 225 (49,35%)</w:t>
            </w:r>
          </w:p>
        </w:tc>
        <w:tc>
          <w:tcPr>
            <w:tcW w:w="2158"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8 430 (50,59%)</w:t>
            </w:r>
          </w:p>
        </w:tc>
        <w:tc>
          <w:tcPr>
            <w:tcW w:w="2158"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16 655</w:t>
            </w:r>
          </w:p>
        </w:tc>
      </w:tr>
      <w:tr w:rsidR="00D211DD" w:rsidRPr="00D211DD" w:rsidTr="00D2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nil"/>
              <w:left w:val="nil"/>
              <w:bottom w:val="nil"/>
            </w:tcBorders>
          </w:tcPr>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197C23">
              <w:rPr>
                <w:rFonts w:ascii="Arial" w:eastAsia="Gill Sans MT" w:hAnsi="Arial" w:cs="Arial"/>
                <w:b/>
                <w:i w:val="0"/>
                <w:color w:val="auto"/>
                <w:sz w:val="22"/>
                <w:szCs w:val="22"/>
              </w:rPr>
              <w:t>70 à 74 ans</w:t>
            </w: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tc>
        <w:tc>
          <w:tcPr>
            <w:tcW w:w="2157"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5 330 (47,23%)</w:t>
            </w:r>
          </w:p>
        </w:tc>
        <w:tc>
          <w:tcPr>
            <w:tcW w:w="2158"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5 955 (52,77%)</w:t>
            </w:r>
          </w:p>
        </w:tc>
        <w:tc>
          <w:tcPr>
            <w:tcW w:w="2158"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11 285</w:t>
            </w:r>
          </w:p>
        </w:tc>
      </w:tr>
      <w:tr w:rsidR="00D211DD" w:rsidRPr="00D211DD" w:rsidTr="00D211DD">
        <w:tc>
          <w:tcPr>
            <w:cnfStyle w:val="001000000000" w:firstRow="0" w:lastRow="0" w:firstColumn="1" w:lastColumn="0" w:oddVBand="0" w:evenVBand="0" w:oddHBand="0" w:evenHBand="0" w:firstRowFirstColumn="0" w:firstRowLastColumn="0" w:lastRowFirstColumn="0" w:lastRowLastColumn="0"/>
            <w:tcW w:w="2157" w:type="dxa"/>
            <w:tcBorders>
              <w:top w:val="nil"/>
              <w:left w:val="nil"/>
              <w:bottom w:val="nil"/>
            </w:tcBorders>
          </w:tcPr>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197C23">
              <w:rPr>
                <w:rFonts w:ascii="Arial" w:eastAsia="Gill Sans MT" w:hAnsi="Arial" w:cs="Arial"/>
                <w:b/>
                <w:i w:val="0"/>
                <w:color w:val="auto"/>
                <w:sz w:val="22"/>
                <w:szCs w:val="22"/>
              </w:rPr>
              <w:t xml:space="preserve">75 à 79 ans </w:t>
            </w:r>
          </w:p>
        </w:tc>
        <w:tc>
          <w:tcPr>
            <w:tcW w:w="2157"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3 730 (44,56%)</w:t>
            </w: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158"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4 640 (55,44%)</w:t>
            </w:r>
          </w:p>
        </w:tc>
        <w:tc>
          <w:tcPr>
            <w:tcW w:w="2158"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8 370</w:t>
            </w:r>
          </w:p>
        </w:tc>
      </w:tr>
      <w:tr w:rsidR="00D211DD" w:rsidRPr="00D211DD" w:rsidTr="00D21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nil"/>
              <w:left w:val="nil"/>
              <w:bottom w:val="nil"/>
            </w:tcBorders>
          </w:tcPr>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197C23">
              <w:rPr>
                <w:rFonts w:ascii="Arial" w:eastAsia="Gill Sans MT" w:hAnsi="Arial" w:cs="Arial"/>
                <w:b/>
                <w:i w:val="0"/>
                <w:color w:val="auto"/>
                <w:sz w:val="22"/>
                <w:szCs w:val="22"/>
              </w:rPr>
              <w:t>80 à 84 ans</w:t>
            </w: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tc>
        <w:tc>
          <w:tcPr>
            <w:tcW w:w="2157"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2 420 (39,57%)</w:t>
            </w:r>
          </w:p>
        </w:tc>
        <w:tc>
          <w:tcPr>
            <w:tcW w:w="2158"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3 695 (60,43%)</w:t>
            </w:r>
          </w:p>
        </w:tc>
        <w:tc>
          <w:tcPr>
            <w:tcW w:w="2158" w:type="dxa"/>
          </w:tcPr>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11DD">
              <w:rPr>
                <w:rFonts w:ascii="Arial" w:hAnsi="Arial" w:cs="Arial"/>
                <w:color w:val="auto"/>
              </w:rPr>
              <w:t>6 115</w:t>
            </w:r>
          </w:p>
        </w:tc>
      </w:tr>
      <w:tr w:rsidR="00D211DD" w:rsidRPr="00D211DD" w:rsidTr="00D211DD">
        <w:tc>
          <w:tcPr>
            <w:cnfStyle w:val="001000000000" w:firstRow="0" w:lastRow="0" w:firstColumn="1" w:lastColumn="0" w:oddVBand="0" w:evenVBand="0" w:oddHBand="0" w:evenHBand="0" w:firstRowFirstColumn="0" w:firstRowLastColumn="0" w:lastRowFirstColumn="0" w:lastRowLastColumn="0"/>
            <w:tcW w:w="2157" w:type="dxa"/>
            <w:tcBorders>
              <w:top w:val="nil"/>
              <w:left w:val="nil"/>
              <w:bottom w:val="nil"/>
            </w:tcBorders>
          </w:tcPr>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p>
          <w:p w:rsidR="00D211DD" w:rsidRPr="00197C23" w:rsidRDefault="00D211DD" w:rsidP="00D211DD">
            <w:pPr>
              <w:tabs>
                <w:tab w:val="left" w:pos="0"/>
              </w:tabs>
              <w:spacing w:line="240" w:lineRule="auto"/>
              <w:contextualSpacing/>
              <w:jc w:val="center"/>
              <w:rPr>
                <w:rFonts w:ascii="Arial" w:eastAsia="Gill Sans MT" w:hAnsi="Arial" w:cs="Arial"/>
                <w:b/>
                <w:i w:val="0"/>
                <w:color w:val="auto"/>
                <w:sz w:val="22"/>
                <w:szCs w:val="22"/>
              </w:rPr>
            </w:pPr>
            <w:r w:rsidRPr="00197C23">
              <w:rPr>
                <w:rFonts w:ascii="Arial" w:eastAsia="Gill Sans MT" w:hAnsi="Arial" w:cs="Arial"/>
                <w:b/>
                <w:i w:val="0"/>
                <w:color w:val="auto"/>
                <w:sz w:val="22"/>
                <w:szCs w:val="22"/>
              </w:rPr>
              <w:t>85 ans et plus</w:t>
            </w:r>
          </w:p>
        </w:tc>
        <w:tc>
          <w:tcPr>
            <w:tcW w:w="2157"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1390 (29,17%)</w:t>
            </w:r>
          </w:p>
        </w:tc>
        <w:tc>
          <w:tcPr>
            <w:tcW w:w="2158"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3 375 (70,83%)</w:t>
            </w:r>
          </w:p>
        </w:tc>
        <w:tc>
          <w:tcPr>
            <w:tcW w:w="2158" w:type="dxa"/>
          </w:tcPr>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D211DD">
              <w:rPr>
                <w:rFonts w:ascii="Arial" w:hAnsi="Arial" w:cs="Arial"/>
                <w:color w:val="auto"/>
              </w:rPr>
              <w:t>4 765</w:t>
            </w:r>
          </w:p>
          <w:p w:rsidR="00D211DD" w:rsidRPr="00D211DD" w:rsidRDefault="00D211DD" w:rsidP="00D211DD">
            <w:pPr>
              <w:tabs>
                <w:tab w:val="left" w:pos="0"/>
              </w:tabs>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rsidR="005E31E9" w:rsidRDefault="005E31E9" w:rsidP="00D211DD">
      <w:pPr>
        <w:tabs>
          <w:tab w:val="left" w:pos="0"/>
        </w:tabs>
        <w:contextualSpacing/>
        <w:jc w:val="both"/>
        <w:rPr>
          <w:rFonts w:ascii="Segoe UI" w:eastAsia="Calibri" w:hAnsi="Segoe UI" w:cs="Segoe UI"/>
          <w:sz w:val="16"/>
          <w:szCs w:val="20"/>
        </w:rPr>
      </w:pPr>
    </w:p>
    <w:p w:rsidR="0090610E" w:rsidRDefault="0090610E" w:rsidP="00D211DD">
      <w:pPr>
        <w:tabs>
          <w:tab w:val="left" w:pos="0"/>
        </w:tabs>
        <w:contextualSpacing/>
        <w:jc w:val="both"/>
        <w:rPr>
          <w:rFonts w:ascii="Segoe UI" w:eastAsia="Calibri" w:hAnsi="Segoe UI" w:cs="Segoe UI"/>
          <w:sz w:val="16"/>
          <w:szCs w:val="20"/>
        </w:rPr>
      </w:pPr>
    </w:p>
    <w:p w:rsidR="00D211DD" w:rsidRPr="00D211DD" w:rsidRDefault="00D211DD" w:rsidP="00D211DD">
      <w:pPr>
        <w:tabs>
          <w:tab w:val="left" w:pos="0"/>
        </w:tabs>
        <w:contextualSpacing/>
        <w:jc w:val="both"/>
        <w:rPr>
          <w:rFonts w:ascii="Segoe UI" w:eastAsia="Calibri" w:hAnsi="Segoe UI" w:cs="Segoe UI"/>
          <w:sz w:val="16"/>
          <w:szCs w:val="20"/>
        </w:rPr>
      </w:pPr>
      <w:r w:rsidRPr="00D211DD">
        <w:rPr>
          <w:rFonts w:ascii="Segoe UI" w:eastAsia="Calibri" w:hAnsi="Segoe UI" w:cs="Segoe UI"/>
          <w:sz w:val="16"/>
          <w:szCs w:val="20"/>
        </w:rPr>
        <w:t>Statistique Canada. (2016). Profil du recensement de 2011, Outaouais, Québec.</w:t>
      </w:r>
    </w:p>
    <w:p w:rsidR="00D211DD" w:rsidRPr="00197C23" w:rsidRDefault="00543948" w:rsidP="00197C23">
      <w:pPr>
        <w:shd w:val="clear" w:color="auto" w:fill="FFFFFF"/>
        <w:spacing w:after="0" w:line="360" w:lineRule="auto"/>
        <w:jc w:val="both"/>
        <w:textAlignment w:val="baseline"/>
        <w:rPr>
          <w:rFonts w:ascii="Arial" w:eastAsia="Times New Roman" w:hAnsi="Arial" w:cs="Arial"/>
          <w:lang w:eastAsia="fr-CA"/>
        </w:rPr>
      </w:pPr>
      <w:r>
        <w:rPr>
          <w:rFonts w:ascii="Arial" w:eastAsia="Times New Roman" w:hAnsi="Arial" w:cs="Arial"/>
          <w:noProof/>
          <w:lang w:val="en-CA" w:eastAsia="en-CA"/>
        </w:rPr>
        <mc:AlternateContent>
          <mc:Choice Requires="wps">
            <w:drawing>
              <wp:anchor distT="0" distB="0" distL="114300" distR="114300" simplePos="0" relativeHeight="251665408" behindDoc="0" locked="0" layoutInCell="1" allowOverlap="1" wp14:anchorId="29A88FE8" wp14:editId="42A58668">
                <wp:simplePos x="0" y="0"/>
                <wp:positionH relativeFrom="column">
                  <wp:posOffset>5287148</wp:posOffset>
                </wp:positionH>
                <wp:positionV relativeFrom="paragraph">
                  <wp:posOffset>418521</wp:posOffset>
                </wp:positionV>
                <wp:extent cx="381663" cy="333955"/>
                <wp:effectExtent l="0" t="0" r="18415" b="28575"/>
                <wp:wrapNone/>
                <wp:docPr id="8" name="Ellipse 8"/>
                <wp:cNvGraphicFramePr/>
                <a:graphic xmlns:a="http://schemas.openxmlformats.org/drawingml/2006/main">
                  <a:graphicData uri="http://schemas.microsoft.com/office/word/2010/wordprocessingShape">
                    <wps:wsp>
                      <wps:cNvSpPr/>
                      <wps:spPr>
                        <a:xfrm>
                          <a:off x="0" y="0"/>
                          <a:ext cx="381663" cy="33395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4E23DA" id="Ellipse 8" o:spid="_x0000_s1026" style="position:absolute;margin-left:416.3pt;margin-top:32.95pt;width:30.05pt;height:2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" fillcolor="window" strokecolor="window" strokeweight="1pt">
                <v:stroke joinstyle="miter"/>
              </v:oval>
            </w:pict>
          </mc:Fallback>
        </mc:AlternateContent>
      </w:r>
      <w:r w:rsidR="0031300B">
        <w:rPr>
          <w:noProof/>
          <w:lang w:val="en-CA" w:eastAsia="en-CA"/>
        </w:rPr>
        <mc:AlternateContent>
          <mc:Choice Requires="wps">
            <w:drawing>
              <wp:anchor distT="0" distB="0" distL="114300" distR="114300" simplePos="0" relativeHeight="251660288" behindDoc="0" locked="0" layoutInCell="1" allowOverlap="1" wp14:anchorId="67E739D6" wp14:editId="2CA2C200">
                <wp:simplePos x="0" y="0"/>
                <wp:positionH relativeFrom="column">
                  <wp:posOffset>5329362</wp:posOffset>
                </wp:positionH>
                <wp:positionV relativeFrom="paragraph">
                  <wp:posOffset>2928372</wp:posOffset>
                </wp:positionV>
                <wp:extent cx="198782" cy="333954"/>
                <wp:effectExtent l="0" t="0" r="10795" b="28575"/>
                <wp:wrapNone/>
                <wp:docPr id="2" name="Ellipse 2"/>
                <wp:cNvGraphicFramePr/>
                <a:graphic xmlns:a="http://schemas.openxmlformats.org/drawingml/2006/main">
                  <a:graphicData uri="http://schemas.microsoft.com/office/word/2010/wordprocessingShape">
                    <wps:wsp>
                      <wps:cNvSpPr/>
                      <wps:spPr>
                        <a:xfrm>
                          <a:off x="0" y="0"/>
                          <a:ext cx="198782" cy="33395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0AC75" id="Ellipse 2" o:spid="_x0000_s1026" style="position:absolute;margin-left:419.65pt;margin-top:230.6pt;width:15.65pt;height:2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" fillcolor="white [3212]" strokecolor="white [3212]" strokeweight="1pt">
                <v:stroke joinstyle="miter"/>
              </v:oval>
            </w:pict>
          </mc:Fallback>
        </mc:AlternateContent>
      </w:r>
    </w:p>
    <w:p w:rsidR="00460316" w:rsidRDefault="00460316" w:rsidP="00D211DD">
      <w:pPr>
        <w:tabs>
          <w:tab w:val="left" w:pos="0"/>
          <w:tab w:val="left" w:pos="630"/>
          <w:tab w:val="left" w:pos="1440"/>
        </w:tabs>
        <w:spacing w:line="360" w:lineRule="auto"/>
        <w:jc w:val="both"/>
        <w:rPr>
          <w:rFonts w:ascii="Arial" w:eastAsia="Calibri" w:hAnsi="Arial" w:cs="Arial"/>
          <w:szCs w:val="16"/>
        </w:rPr>
      </w:pPr>
    </w:p>
    <w:p w:rsidR="00D211DD" w:rsidRDefault="00D211DD" w:rsidP="0031300B">
      <w:pPr>
        <w:jc w:val="both"/>
        <w:rPr>
          <w:rFonts w:ascii="Arial" w:hAnsi="Arial" w:cs="Arial"/>
        </w:rPr>
      </w:pPr>
    </w:p>
    <w:p w:rsidR="00D659AE" w:rsidRDefault="00D659AE" w:rsidP="0031300B">
      <w:pPr>
        <w:jc w:val="both"/>
        <w:rPr>
          <w:rFonts w:ascii="Arial" w:hAnsi="Arial" w:cs="Arial"/>
        </w:rPr>
      </w:pPr>
    </w:p>
    <w:tbl>
      <w:tblPr>
        <w:tblStyle w:val="Grilledutableau"/>
        <w:tblW w:w="0" w:type="auto"/>
        <w:tblInd w:w="0" w:type="dxa"/>
        <w:tblLook w:val="04A0" w:firstRow="1" w:lastRow="0" w:firstColumn="1" w:lastColumn="0" w:noHBand="0" w:noVBand="1"/>
      </w:tblPr>
      <w:tblGrid>
        <w:gridCol w:w="8630"/>
      </w:tblGrid>
      <w:tr w:rsidR="00AF23DD" w:rsidTr="00C133CE">
        <w:tc>
          <w:tcPr>
            <w:tcW w:w="8630" w:type="dxa"/>
            <w:shd w:val="clear" w:color="auto" w:fill="000000" w:themeFill="text1"/>
          </w:tcPr>
          <w:p w:rsidR="00AF23DD" w:rsidRPr="00AF23DD" w:rsidRDefault="00AF23DD" w:rsidP="00AF23DD">
            <w:pPr>
              <w:spacing w:line="240" w:lineRule="auto"/>
              <w:jc w:val="center"/>
              <w:rPr>
                <w:rFonts w:ascii="Arial" w:hAnsi="Arial" w:cs="Arial"/>
                <w:color w:val="FFFFFF" w:themeColor="background1"/>
                <w:sz w:val="28"/>
              </w:rPr>
            </w:pPr>
          </w:p>
          <w:p w:rsidR="00AF23DD" w:rsidRPr="00AF23DD" w:rsidRDefault="005F6749" w:rsidP="00AF23DD">
            <w:pPr>
              <w:spacing w:line="240" w:lineRule="auto"/>
              <w:jc w:val="center"/>
              <w:rPr>
                <w:rFonts w:ascii="Arial" w:hAnsi="Arial" w:cs="Arial"/>
                <w:b/>
                <w:color w:val="FFFFFF" w:themeColor="background1"/>
                <w:sz w:val="28"/>
              </w:rPr>
            </w:pPr>
            <w:r>
              <w:rPr>
                <w:rFonts w:ascii="Arial" w:hAnsi="Arial" w:cs="Arial"/>
                <w:b/>
                <w:color w:val="FFFFFF" w:themeColor="background1"/>
                <w:sz w:val="28"/>
              </w:rPr>
              <w:t>2.1</w:t>
            </w:r>
            <w:r w:rsidR="00C133CE">
              <w:rPr>
                <w:rFonts w:ascii="Arial" w:hAnsi="Arial" w:cs="Arial"/>
                <w:b/>
                <w:color w:val="FFFFFF" w:themeColor="background1"/>
                <w:sz w:val="28"/>
              </w:rPr>
              <w:t xml:space="preserve"> </w:t>
            </w:r>
            <w:r w:rsidR="00AF23DD" w:rsidRPr="00AF23DD">
              <w:rPr>
                <w:rFonts w:ascii="Arial" w:hAnsi="Arial" w:cs="Arial"/>
                <w:b/>
                <w:color w:val="FFFFFF" w:themeColor="background1"/>
                <w:sz w:val="28"/>
              </w:rPr>
              <w:t>Caractéristiques démographiques et globales en Outaouais</w:t>
            </w:r>
          </w:p>
          <w:p w:rsidR="00AF23DD" w:rsidRDefault="00AF23DD" w:rsidP="0031300B">
            <w:pPr>
              <w:jc w:val="both"/>
              <w:rPr>
                <w:rFonts w:ascii="Arial" w:hAnsi="Arial" w:cs="Arial"/>
              </w:rPr>
            </w:pPr>
          </w:p>
        </w:tc>
      </w:tr>
    </w:tbl>
    <w:p w:rsidR="00AF23DD" w:rsidRDefault="00AF23DD" w:rsidP="0031300B">
      <w:pPr>
        <w:jc w:val="both"/>
        <w:rPr>
          <w:rFonts w:ascii="Arial" w:hAnsi="Arial" w:cs="Arial"/>
        </w:rPr>
      </w:pPr>
    </w:p>
    <w:p w:rsidR="00AF23DD" w:rsidRDefault="00AF23DD" w:rsidP="00D211DD">
      <w:pPr>
        <w:tabs>
          <w:tab w:val="left" w:pos="720"/>
          <w:tab w:val="left" w:pos="1440"/>
        </w:tabs>
        <w:spacing w:line="360" w:lineRule="auto"/>
        <w:ind w:left="720" w:hanging="720"/>
        <w:contextualSpacing/>
        <w:jc w:val="both"/>
        <w:rPr>
          <w:rFonts w:ascii="Arial" w:eastAsia="Calibri" w:hAnsi="Arial" w:cs="Arial"/>
          <w:szCs w:val="16"/>
        </w:rPr>
      </w:pPr>
    </w:p>
    <w:p w:rsidR="00D211DD" w:rsidRDefault="00D211DD" w:rsidP="00D211DD">
      <w:pPr>
        <w:tabs>
          <w:tab w:val="left" w:pos="720"/>
          <w:tab w:val="left" w:pos="1440"/>
        </w:tabs>
        <w:spacing w:line="360" w:lineRule="auto"/>
        <w:ind w:left="720" w:hanging="720"/>
        <w:contextualSpacing/>
        <w:jc w:val="both"/>
        <w:rPr>
          <w:rFonts w:ascii="Arial" w:eastAsia="Calibri" w:hAnsi="Arial" w:cs="Arial"/>
          <w:szCs w:val="16"/>
        </w:rPr>
      </w:pPr>
      <w:r>
        <w:rPr>
          <w:rFonts w:ascii="Arial" w:eastAsia="Calibri" w:hAnsi="Arial" w:cs="Arial"/>
          <w:szCs w:val="16"/>
        </w:rPr>
        <w:t>En Outaouais, il y a 56 635 habitants âgés de 65 ans et plus, ce qui représente 14,69%</w:t>
      </w:r>
    </w:p>
    <w:p w:rsidR="00D211DD" w:rsidRPr="00AF23DD" w:rsidRDefault="00D211DD" w:rsidP="00AF23DD">
      <w:pPr>
        <w:tabs>
          <w:tab w:val="left" w:pos="0"/>
          <w:tab w:val="left" w:pos="1440"/>
        </w:tabs>
        <w:spacing w:line="360" w:lineRule="auto"/>
        <w:contextualSpacing/>
        <w:jc w:val="both"/>
        <w:rPr>
          <w:rFonts w:ascii="Arial" w:eastAsia="Calibri" w:hAnsi="Arial" w:cs="Arial"/>
          <w:szCs w:val="16"/>
        </w:rPr>
      </w:pPr>
      <w:r>
        <w:rPr>
          <w:rFonts w:ascii="Arial" w:eastAsia="Calibri" w:hAnsi="Arial" w:cs="Arial"/>
          <w:szCs w:val="16"/>
        </w:rPr>
        <w:t xml:space="preserve">de la population totale qui est composée de 385 579 habitants. </w:t>
      </w:r>
      <w:r w:rsidR="0029482A">
        <w:rPr>
          <w:rFonts w:ascii="Arial" w:eastAsia="Calibri" w:hAnsi="Arial" w:cs="Arial"/>
          <w:szCs w:val="16"/>
        </w:rPr>
        <w:t>Il est important de spécifier que les autres catégories d’âge permettent de comparer le nombre d’individus. Par exemple, il y a plus de gens âgés de 65 ans et plus que de gens âgés e</w:t>
      </w:r>
      <w:r w:rsidR="00AF23DD">
        <w:rPr>
          <w:rFonts w:ascii="Arial" w:eastAsia="Calibri" w:hAnsi="Arial" w:cs="Arial"/>
          <w:szCs w:val="16"/>
        </w:rPr>
        <w:t>ntre 15 et 24 ans en Outaouais.</w:t>
      </w:r>
    </w:p>
    <w:p w:rsidR="00D211DD" w:rsidRDefault="00D211DD" w:rsidP="00D211DD">
      <w:pPr>
        <w:jc w:val="center"/>
        <w:rPr>
          <w:rFonts w:ascii="Segoe UI" w:eastAsia="Calibri" w:hAnsi="Segoe UI" w:cs="Segoe UI"/>
          <w:sz w:val="18"/>
          <w:szCs w:val="20"/>
        </w:rPr>
      </w:pPr>
      <w:r>
        <w:rPr>
          <w:rFonts w:ascii="Segoe UI" w:eastAsia="Calibri" w:hAnsi="Segoe UI" w:cs="Segoe UI"/>
          <w:noProof/>
          <w:sz w:val="18"/>
          <w:szCs w:val="20"/>
          <w:lang w:val="en-CA" w:eastAsia="en-CA"/>
        </w:rPr>
        <w:drawing>
          <wp:inline distT="0" distB="0" distL="0" distR="0">
            <wp:extent cx="4508389" cy="5518150"/>
            <wp:effectExtent l="0" t="0" r="6985" b="6350"/>
            <wp:docPr id="10" name="Image 10" descr="outaou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outaoua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675" cy="5533188"/>
                    </a:xfrm>
                    <a:prstGeom prst="rect">
                      <a:avLst/>
                    </a:prstGeom>
                    <a:noFill/>
                    <a:ln>
                      <a:noFill/>
                    </a:ln>
                  </pic:spPr>
                </pic:pic>
              </a:graphicData>
            </a:graphic>
          </wp:inline>
        </w:drawing>
      </w:r>
    </w:p>
    <w:p w:rsidR="00D211DD" w:rsidRDefault="00D211DD" w:rsidP="005E31E9">
      <w:pPr>
        <w:spacing w:after="0" w:line="240" w:lineRule="auto"/>
        <w:ind w:left="-360" w:firstLine="270"/>
        <w:jc w:val="center"/>
        <w:rPr>
          <w:rFonts w:ascii="Segoe UI" w:eastAsia="Calibri" w:hAnsi="Segoe UI" w:cs="Segoe UI"/>
          <w:sz w:val="18"/>
          <w:szCs w:val="20"/>
        </w:rPr>
      </w:pPr>
      <w:r>
        <w:rPr>
          <w:rFonts w:ascii="Segoe UI" w:eastAsia="Calibri" w:hAnsi="Segoe UI" w:cs="Segoe UI"/>
          <w:sz w:val="16"/>
          <w:szCs w:val="16"/>
        </w:rPr>
        <w:t xml:space="preserve">Gouvernement du Québec, Institut de la statistique Québec. (2015). </w:t>
      </w:r>
      <w:r>
        <w:rPr>
          <w:rFonts w:ascii="Segoe UI" w:eastAsia="Calibri" w:hAnsi="Segoe UI" w:cs="Segoe UI"/>
          <w:i/>
          <w:sz w:val="16"/>
          <w:szCs w:val="16"/>
        </w:rPr>
        <w:t>L’Outaouais ainsi que ses municipalités régionales de</w:t>
      </w:r>
    </w:p>
    <w:p w:rsidR="00D211DD" w:rsidRPr="0029482A" w:rsidRDefault="00D211DD" w:rsidP="0029482A">
      <w:pPr>
        <w:spacing w:after="0" w:line="240" w:lineRule="auto"/>
        <w:rPr>
          <w:rFonts w:ascii="Segoe UI" w:eastAsia="Calibri" w:hAnsi="Segoe UI" w:cs="Segoe UI"/>
          <w:sz w:val="18"/>
          <w:szCs w:val="20"/>
        </w:rPr>
      </w:pPr>
      <w:r>
        <w:rPr>
          <w:rFonts w:ascii="Segoe UI" w:eastAsia="Calibri" w:hAnsi="Segoe UI" w:cs="Segoe UI"/>
          <w:i/>
          <w:sz w:val="16"/>
          <w:szCs w:val="16"/>
        </w:rPr>
        <w:t>comté (MRC).</w:t>
      </w:r>
      <w:r>
        <w:rPr>
          <w:rFonts w:ascii="Segoe UI" w:eastAsia="Calibri" w:hAnsi="Segoe UI" w:cs="Segoe UI"/>
          <w:sz w:val="16"/>
          <w:szCs w:val="16"/>
        </w:rPr>
        <w:t xml:space="preserve"> Repéré dans : </w:t>
      </w:r>
      <w:hyperlink r:id="rId13" w:history="1">
        <w:r>
          <w:rPr>
            <w:rStyle w:val="Lienhypertexte"/>
            <w:rFonts w:ascii="Segoe UI" w:eastAsia="Calibri" w:hAnsi="Segoe UI" w:cs="Segoe UI"/>
            <w:color w:val="0070C0"/>
            <w:sz w:val="16"/>
            <w:szCs w:val="16"/>
          </w:rPr>
          <w:t>http://www.stat.gouv.qc.ca/statistiques/profils/region_07/region_07_00.htm</w:t>
        </w:r>
      </w:hyperlink>
    </w:p>
    <w:tbl>
      <w:tblPr>
        <w:tblStyle w:val="Grilledutableau"/>
        <w:tblW w:w="0" w:type="auto"/>
        <w:tblInd w:w="0" w:type="dxa"/>
        <w:tblLook w:val="04A0" w:firstRow="1" w:lastRow="0" w:firstColumn="1" w:lastColumn="0" w:noHBand="0" w:noVBand="1"/>
      </w:tblPr>
      <w:tblGrid>
        <w:gridCol w:w="8630"/>
      </w:tblGrid>
      <w:tr w:rsidR="00AF23DD" w:rsidTr="00C133CE">
        <w:tc>
          <w:tcPr>
            <w:tcW w:w="8630" w:type="dxa"/>
            <w:shd w:val="clear" w:color="auto" w:fill="000000" w:themeFill="text1"/>
          </w:tcPr>
          <w:p w:rsidR="00AF23DD" w:rsidRPr="00AF23DD" w:rsidRDefault="00AF23DD" w:rsidP="00AF23DD">
            <w:pPr>
              <w:spacing w:line="240" w:lineRule="auto"/>
              <w:jc w:val="both"/>
              <w:rPr>
                <w:rFonts w:ascii="Arial" w:eastAsia="Calibri" w:hAnsi="Arial" w:cs="Arial"/>
                <w:color w:val="FFFFFF" w:themeColor="background1"/>
                <w:szCs w:val="20"/>
              </w:rPr>
            </w:pPr>
          </w:p>
          <w:p w:rsidR="00AF23DD" w:rsidRPr="00AF23DD" w:rsidRDefault="005F6749" w:rsidP="00C133CE">
            <w:pPr>
              <w:spacing w:line="240" w:lineRule="auto"/>
              <w:jc w:val="center"/>
              <w:rPr>
                <w:rFonts w:ascii="Arial" w:eastAsia="Calibri" w:hAnsi="Arial" w:cs="Arial"/>
                <w:b/>
                <w:color w:val="FFFFFF" w:themeColor="background1"/>
                <w:sz w:val="28"/>
                <w:szCs w:val="20"/>
              </w:rPr>
            </w:pPr>
            <w:r>
              <w:rPr>
                <w:rFonts w:ascii="Arial" w:eastAsia="Calibri" w:hAnsi="Arial" w:cs="Arial"/>
                <w:b/>
                <w:color w:val="FFFFFF" w:themeColor="background1"/>
                <w:sz w:val="28"/>
                <w:szCs w:val="20"/>
              </w:rPr>
              <w:t>2.2</w:t>
            </w:r>
            <w:r w:rsidR="00C133CE">
              <w:rPr>
                <w:rFonts w:ascii="Arial" w:eastAsia="Calibri" w:hAnsi="Arial" w:cs="Arial"/>
                <w:b/>
                <w:color w:val="FFFFFF" w:themeColor="background1"/>
                <w:sz w:val="28"/>
                <w:szCs w:val="20"/>
              </w:rPr>
              <w:t xml:space="preserve"> </w:t>
            </w:r>
            <w:r w:rsidR="00AF23DD" w:rsidRPr="00AF23DD">
              <w:rPr>
                <w:rFonts w:ascii="Arial" w:eastAsia="Calibri" w:hAnsi="Arial" w:cs="Arial"/>
                <w:b/>
                <w:color w:val="FFFFFF" w:themeColor="background1"/>
                <w:sz w:val="28"/>
                <w:szCs w:val="20"/>
              </w:rPr>
              <w:t>Nombre d’aînés entre 2001 et 2015 en Outaouais</w:t>
            </w:r>
          </w:p>
          <w:p w:rsidR="00AF23DD" w:rsidRPr="00AF23DD" w:rsidRDefault="00AF23DD" w:rsidP="00AF23DD">
            <w:pPr>
              <w:spacing w:line="360" w:lineRule="auto"/>
              <w:jc w:val="center"/>
              <w:rPr>
                <w:rFonts w:ascii="Arial" w:eastAsia="Calibri" w:hAnsi="Arial" w:cs="Arial"/>
                <w:b/>
                <w:color w:val="221E1F"/>
                <w:sz w:val="28"/>
                <w:szCs w:val="20"/>
              </w:rPr>
            </w:pPr>
          </w:p>
        </w:tc>
      </w:tr>
    </w:tbl>
    <w:p w:rsidR="00AF23DD" w:rsidRDefault="00AF23DD" w:rsidP="00D211DD">
      <w:pPr>
        <w:spacing w:line="360" w:lineRule="auto"/>
        <w:jc w:val="both"/>
        <w:rPr>
          <w:rFonts w:ascii="Arial" w:eastAsia="Calibri" w:hAnsi="Arial" w:cs="Arial"/>
          <w:color w:val="221E1F"/>
          <w:szCs w:val="20"/>
        </w:rPr>
      </w:pPr>
    </w:p>
    <w:p w:rsidR="00D211DD" w:rsidRPr="00D211DD" w:rsidRDefault="00D211DD" w:rsidP="00D211DD">
      <w:pPr>
        <w:spacing w:line="360" w:lineRule="auto"/>
        <w:jc w:val="both"/>
        <w:rPr>
          <w:rFonts w:ascii="Arial" w:eastAsia="Calibri" w:hAnsi="Arial" w:cs="Arial"/>
          <w:color w:val="221E1F"/>
          <w:szCs w:val="20"/>
        </w:rPr>
      </w:pPr>
      <w:r w:rsidRPr="00D211DD">
        <w:rPr>
          <w:rFonts w:ascii="Arial" w:eastAsia="Calibri" w:hAnsi="Arial" w:cs="Arial"/>
          <w:color w:val="221E1F"/>
          <w:szCs w:val="20"/>
        </w:rPr>
        <w:t xml:space="preserve">En Outaouais, de 2001 à 2015, il y a plus de femmes âgées de 65 ans et plus que d’hommes. De plus, la population est en augmentation chez les deux sexes. </w:t>
      </w:r>
      <w:r w:rsidR="00B330B2">
        <w:rPr>
          <w:rFonts w:ascii="Arial" w:eastAsia="Calibri" w:hAnsi="Arial" w:cs="Arial"/>
          <w:color w:val="221E1F"/>
          <w:szCs w:val="20"/>
        </w:rPr>
        <w:t xml:space="preserve">Entre 2001 et 2015 chez les femmes, il y a une augmentation de 12 002 et chez les hommes, il est question d’un accroissement de 11 918. </w:t>
      </w:r>
      <w:r w:rsidR="000473B9">
        <w:rPr>
          <w:rFonts w:ascii="Arial" w:eastAsia="Calibri" w:hAnsi="Arial" w:cs="Arial"/>
          <w:color w:val="221E1F"/>
          <w:szCs w:val="20"/>
        </w:rPr>
        <w:t>Bref, l</w:t>
      </w:r>
      <w:r w:rsidR="00B330B2">
        <w:rPr>
          <w:rFonts w:ascii="Arial" w:eastAsia="Calibri" w:hAnsi="Arial" w:cs="Arial"/>
          <w:color w:val="221E1F"/>
          <w:szCs w:val="20"/>
        </w:rPr>
        <w:t xml:space="preserve">e taux d’accroissement chez les deux sexes s’avère similaire en l’espace de 14 ans. </w:t>
      </w:r>
    </w:p>
    <w:p w:rsidR="00D211DD" w:rsidRPr="00D211DD" w:rsidRDefault="00D211DD" w:rsidP="00D211DD">
      <w:pPr>
        <w:spacing w:line="254" w:lineRule="auto"/>
        <w:ind w:left="720" w:hanging="720"/>
        <w:contextualSpacing/>
        <w:jc w:val="both"/>
        <w:rPr>
          <w:rFonts w:ascii="Segoe UI" w:eastAsia="Calibri" w:hAnsi="Segoe UI" w:cs="Segoe UI"/>
          <w:color w:val="221E1F"/>
          <w:sz w:val="16"/>
          <w:szCs w:val="20"/>
        </w:rPr>
      </w:pPr>
    </w:p>
    <w:p w:rsidR="00D211DD" w:rsidRPr="00D211DD" w:rsidRDefault="00D211DD" w:rsidP="00D211DD">
      <w:pPr>
        <w:spacing w:line="254" w:lineRule="auto"/>
        <w:ind w:left="720" w:right="-900" w:hanging="1620"/>
        <w:contextualSpacing/>
        <w:jc w:val="both"/>
        <w:rPr>
          <w:rFonts w:ascii="Segoe UI" w:eastAsia="Calibri" w:hAnsi="Segoe UI" w:cs="Segoe UI"/>
          <w:color w:val="221E1F"/>
          <w:sz w:val="16"/>
          <w:szCs w:val="20"/>
        </w:rPr>
      </w:pPr>
      <w:r w:rsidRPr="00D211DD">
        <w:rPr>
          <w:rFonts w:ascii="Gill Sans MT" w:eastAsia="Gill Sans MT" w:hAnsi="Gill Sans MT" w:cs="Times New Roman"/>
          <w:noProof/>
          <w:color w:val="221E1F"/>
          <w:lang w:val="en-CA" w:eastAsia="en-CA"/>
        </w:rPr>
        <w:drawing>
          <wp:inline distT="0" distB="0" distL="0" distR="0" wp14:anchorId="335CE873" wp14:editId="35CBB256">
            <wp:extent cx="6647180" cy="5160396"/>
            <wp:effectExtent l="0" t="0" r="1270" b="2540"/>
            <wp:docPr id="11"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11DD" w:rsidRPr="00D211DD" w:rsidRDefault="00D211DD" w:rsidP="00D211DD">
      <w:pPr>
        <w:spacing w:line="254" w:lineRule="auto"/>
        <w:ind w:left="720" w:hanging="720"/>
        <w:contextualSpacing/>
        <w:jc w:val="both"/>
        <w:rPr>
          <w:rFonts w:ascii="Segoe UI" w:eastAsia="Calibri" w:hAnsi="Segoe UI" w:cs="Segoe UI"/>
          <w:color w:val="221E1F"/>
          <w:sz w:val="16"/>
          <w:szCs w:val="20"/>
        </w:rPr>
      </w:pPr>
    </w:p>
    <w:p w:rsidR="00D211DD" w:rsidRPr="00D211DD" w:rsidRDefault="00D211DD" w:rsidP="00D211DD">
      <w:pPr>
        <w:spacing w:line="254" w:lineRule="auto"/>
        <w:ind w:left="720" w:hanging="720"/>
        <w:contextualSpacing/>
        <w:jc w:val="both"/>
        <w:rPr>
          <w:rFonts w:ascii="Segoe UI" w:eastAsia="Calibri" w:hAnsi="Segoe UI" w:cs="Segoe UI"/>
          <w:color w:val="221E1F"/>
          <w:sz w:val="16"/>
          <w:szCs w:val="20"/>
        </w:rPr>
      </w:pPr>
    </w:p>
    <w:p w:rsidR="00D211DD" w:rsidRPr="00D211DD" w:rsidRDefault="00D211DD" w:rsidP="00D211DD">
      <w:pPr>
        <w:spacing w:line="254" w:lineRule="auto"/>
        <w:ind w:left="720" w:hanging="720"/>
        <w:contextualSpacing/>
        <w:jc w:val="both"/>
        <w:rPr>
          <w:rFonts w:ascii="Segoe UI" w:eastAsia="Calibri" w:hAnsi="Segoe UI" w:cs="Segoe UI"/>
          <w:i/>
          <w:color w:val="221E1F"/>
          <w:sz w:val="16"/>
          <w:szCs w:val="20"/>
        </w:rPr>
      </w:pPr>
      <w:r w:rsidRPr="00D211DD">
        <w:rPr>
          <w:rFonts w:ascii="Segoe UI" w:eastAsia="Calibri" w:hAnsi="Segoe UI" w:cs="Segoe UI"/>
          <w:color w:val="221E1F"/>
          <w:sz w:val="16"/>
          <w:szCs w:val="20"/>
        </w:rPr>
        <w:t xml:space="preserve">Girard, C., &amp; Binette Charbonneau, A., &amp; Payeur, F., &amp; Cristina Azeredo, A. (2015). </w:t>
      </w:r>
      <w:r w:rsidRPr="00D211DD">
        <w:rPr>
          <w:rFonts w:ascii="Segoe UI" w:eastAsia="Calibri" w:hAnsi="Segoe UI" w:cs="Segoe UI"/>
          <w:i/>
          <w:color w:val="221E1F"/>
          <w:sz w:val="16"/>
          <w:szCs w:val="20"/>
        </w:rPr>
        <w:t>Le bilan démographique du Québec.</w:t>
      </w:r>
    </w:p>
    <w:p w:rsidR="00BD42FB" w:rsidRPr="004F3CDC" w:rsidRDefault="00D211DD" w:rsidP="004F3CDC">
      <w:pPr>
        <w:spacing w:line="254" w:lineRule="auto"/>
        <w:ind w:left="720" w:hanging="720"/>
        <w:contextualSpacing/>
        <w:jc w:val="both"/>
        <w:rPr>
          <w:rFonts w:ascii="Segoe UI" w:eastAsia="Calibri" w:hAnsi="Segoe UI" w:cs="Segoe UI"/>
          <w:color w:val="221E1F"/>
          <w:sz w:val="16"/>
          <w:szCs w:val="20"/>
        </w:rPr>
      </w:pPr>
      <w:r w:rsidRPr="00D211DD">
        <w:rPr>
          <w:rFonts w:ascii="Segoe UI" w:eastAsia="Calibri" w:hAnsi="Segoe UI" w:cs="Segoe UI"/>
          <w:color w:val="221E1F"/>
          <w:sz w:val="16"/>
          <w:szCs w:val="20"/>
        </w:rPr>
        <w:t>Institut de la statistique du Québec.</w:t>
      </w:r>
    </w:p>
    <w:tbl>
      <w:tblPr>
        <w:tblStyle w:val="Grilledutableau"/>
        <w:tblW w:w="0" w:type="auto"/>
        <w:tblInd w:w="0" w:type="dxa"/>
        <w:tblLook w:val="04A0" w:firstRow="1" w:lastRow="0" w:firstColumn="1" w:lastColumn="0" w:noHBand="0" w:noVBand="1"/>
      </w:tblPr>
      <w:tblGrid>
        <w:gridCol w:w="8630"/>
      </w:tblGrid>
      <w:tr w:rsidR="00C133CE" w:rsidTr="00C133CE">
        <w:tc>
          <w:tcPr>
            <w:tcW w:w="8630" w:type="dxa"/>
            <w:shd w:val="clear" w:color="auto" w:fill="000000" w:themeFill="text1"/>
          </w:tcPr>
          <w:p w:rsidR="00C133CE" w:rsidRDefault="00C133CE" w:rsidP="00C133CE">
            <w:pPr>
              <w:spacing w:line="240" w:lineRule="auto"/>
              <w:jc w:val="both"/>
              <w:rPr>
                <w:rFonts w:ascii="Arial" w:eastAsia="Gill Sans MT" w:hAnsi="Arial" w:cs="Arial"/>
                <w:szCs w:val="16"/>
              </w:rPr>
            </w:pPr>
          </w:p>
          <w:p w:rsidR="00C133CE" w:rsidRDefault="005F6749" w:rsidP="00C133CE">
            <w:pPr>
              <w:spacing w:line="240" w:lineRule="auto"/>
              <w:jc w:val="center"/>
              <w:rPr>
                <w:rFonts w:ascii="Arial" w:eastAsia="Gill Sans MT" w:hAnsi="Arial" w:cs="Arial"/>
                <w:b/>
                <w:color w:val="FFFFFF" w:themeColor="background1"/>
                <w:sz w:val="28"/>
                <w:szCs w:val="16"/>
              </w:rPr>
            </w:pPr>
            <w:r>
              <w:rPr>
                <w:rFonts w:ascii="Arial" w:eastAsia="Gill Sans MT" w:hAnsi="Arial" w:cs="Arial"/>
                <w:b/>
                <w:color w:val="FFFFFF" w:themeColor="background1"/>
                <w:sz w:val="28"/>
                <w:szCs w:val="16"/>
              </w:rPr>
              <w:t>2.3</w:t>
            </w:r>
            <w:r w:rsidR="00C133CE">
              <w:rPr>
                <w:rFonts w:ascii="Arial" w:eastAsia="Gill Sans MT" w:hAnsi="Arial" w:cs="Arial"/>
                <w:b/>
                <w:color w:val="FFFFFF" w:themeColor="background1"/>
                <w:sz w:val="28"/>
                <w:szCs w:val="16"/>
              </w:rPr>
              <w:t xml:space="preserve"> Perspectives démographiques des aînés en Outaouais</w:t>
            </w:r>
          </w:p>
          <w:p w:rsidR="00C133CE" w:rsidRPr="00C133CE" w:rsidRDefault="00C133CE" w:rsidP="00C133CE">
            <w:pPr>
              <w:spacing w:line="360" w:lineRule="auto"/>
              <w:jc w:val="center"/>
              <w:rPr>
                <w:rFonts w:ascii="Arial" w:eastAsia="Gill Sans MT" w:hAnsi="Arial" w:cs="Arial"/>
                <w:b/>
                <w:color w:val="FFFFFF" w:themeColor="background1"/>
                <w:sz w:val="28"/>
                <w:szCs w:val="16"/>
              </w:rPr>
            </w:pPr>
          </w:p>
        </w:tc>
      </w:tr>
    </w:tbl>
    <w:p w:rsidR="00C133CE" w:rsidRDefault="00C133CE" w:rsidP="00D211DD">
      <w:pPr>
        <w:spacing w:line="360" w:lineRule="auto"/>
        <w:jc w:val="both"/>
        <w:rPr>
          <w:rFonts w:ascii="Arial" w:eastAsia="Gill Sans MT" w:hAnsi="Arial" w:cs="Arial"/>
          <w:szCs w:val="16"/>
        </w:rPr>
      </w:pPr>
    </w:p>
    <w:p w:rsidR="00D211DD" w:rsidRPr="00D211DD" w:rsidRDefault="00D211DD" w:rsidP="00D211DD">
      <w:pPr>
        <w:spacing w:line="360" w:lineRule="auto"/>
        <w:jc w:val="both"/>
        <w:rPr>
          <w:rFonts w:ascii="Arial" w:eastAsia="Gill Sans MT" w:hAnsi="Arial" w:cs="Arial"/>
          <w:szCs w:val="16"/>
        </w:rPr>
      </w:pPr>
      <w:r w:rsidRPr="00D211DD">
        <w:rPr>
          <w:rFonts w:ascii="Arial" w:eastAsia="Gill Sans MT" w:hAnsi="Arial" w:cs="Arial"/>
          <w:szCs w:val="16"/>
        </w:rPr>
        <w:t xml:space="preserve">Selon cette perspective démographique, les individus âgés de 65 à 74 ans, 75 à 84 ans et 85 ans et plus augmentent tous à l’exception d’une diminution de 2 323 personnes âgées de 65 à 74 ans entre 2031 et 2036. Il s’agit des deux sexes confondus, et ce, en Outaouais. </w:t>
      </w:r>
    </w:p>
    <w:p w:rsidR="00D211DD" w:rsidRPr="00D211DD" w:rsidRDefault="00D211DD" w:rsidP="00D211DD">
      <w:pPr>
        <w:jc w:val="both"/>
        <w:rPr>
          <w:rFonts w:ascii="Arial" w:eastAsia="Gill Sans MT" w:hAnsi="Arial" w:cs="Arial"/>
          <w:szCs w:val="16"/>
        </w:rPr>
      </w:pPr>
    </w:p>
    <w:p w:rsidR="00D211DD" w:rsidRPr="00D211DD" w:rsidRDefault="00D211DD" w:rsidP="00D211DD">
      <w:pPr>
        <w:ind w:right="-900" w:hanging="900"/>
        <w:jc w:val="both"/>
        <w:rPr>
          <w:rFonts w:ascii="Segoe UI" w:eastAsia="Gill Sans MT" w:hAnsi="Segoe UI" w:cs="Segoe UI"/>
          <w:i/>
          <w:sz w:val="16"/>
          <w:szCs w:val="16"/>
        </w:rPr>
      </w:pPr>
      <w:r w:rsidRPr="00D211DD">
        <w:rPr>
          <w:rFonts w:ascii="Gill Sans MT" w:eastAsia="Gill Sans MT" w:hAnsi="Gill Sans MT" w:cs="Times New Roman"/>
          <w:i/>
          <w:noProof/>
          <w:lang w:val="en-CA" w:eastAsia="en-CA"/>
        </w:rPr>
        <w:drawing>
          <wp:inline distT="0" distB="0" distL="0" distR="0" wp14:anchorId="7AF76156" wp14:editId="2B0D2FAB">
            <wp:extent cx="6639560" cy="5311472"/>
            <wp:effectExtent l="0" t="0" r="8890" b="3810"/>
            <wp:docPr id="12" name="Graphique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42FB" w:rsidRDefault="00D211DD" w:rsidP="00D211DD">
      <w:pPr>
        <w:jc w:val="both"/>
        <w:rPr>
          <w:rFonts w:ascii="Segoe UI" w:eastAsia="Gill Sans MT" w:hAnsi="Segoe UI" w:cs="Segoe UI"/>
          <w:i/>
          <w:sz w:val="16"/>
          <w:szCs w:val="16"/>
        </w:rPr>
      </w:pPr>
      <w:r w:rsidRPr="00D211DD">
        <w:rPr>
          <w:rFonts w:ascii="Segoe UI" w:eastAsia="Gill Sans MT" w:hAnsi="Segoe UI" w:cs="Segoe UI"/>
          <w:sz w:val="16"/>
          <w:szCs w:val="16"/>
        </w:rPr>
        <w:t xml:space="preserve">Gouvernement du Québec. Institut de la statistique  Québec. (2015). </w:t>
      </w:r>
      <w:r w:rsidRPr="00D211DD">
        <w:rPr>
          <w:rFonts w:ascii="Segoe UI" w:eastAsia="Gill Sans MT" w:hAnsi="Segoe UI" w:cs="Segoe UI"/>
          <w:i/>
          <w:sz w:val="16"/>
          <w:szCs w:val="16"/>
        </w:rPr>
        <w:t>Perspectives démographiques, selon le groupe d'âge et le sexe, MRC de l'Outaouais, Scénario A2, 2011, 2016, 2021, 2026, 2031 et 2036.</w:t>
      </w:r>
      <w:r w:rsidRPr="00D211DD">
        <w:rPr>
          <w:rFonts w:ascii="Gill Sans MT" w:eastAsia="Gill Sans MT" w:hAnsi="Gill Sans MT" w:cs="Times New Roman"/>
        </w:rPr>
        <w:t xml:space="preserve"> </w:t>
      </w:r>
      <w:r w:rsidRPr="00D211DD">
        <w:rPr>
          <w:rFonts w:ascii="Segoe UI" w:eastAsia="Gill Sans MT" w:hAnsi="Segoe UI" w:cs="Segoe UI"/>
          <w:sz w:val="16"/>
        </w:rPr>
        <w:t>(</w:t>
      </w:r>
      <w:hyperlink r:id="rId16" w:anchor="Gatineau" w:history="1">
        <w:r w:rsidRPr="00D211DD">
          <w:rPr>
            <w:rFonts w:ascii="Segoe UI" w:eastAsia="Gill Sans MT" w:hAnsi="Segoe UI" w:cs="Segoe UI"/>
            <w:i/>
            <w:sz w:val="16"/>
            <w:szCs w:val="16"/>
          </w:rPr>
          <w:t>Gatineau</w:t>
        </w:r>
      </w:hyperlink>
      <w:r w:rsidRPr="00D211DD">
        <w:rPr>
          <w:rFonts w:ascii="Segoe UI" w:eastAsia="Gill Sans MT" w:hAnsi="Segoe UI" w:cs="Segoe UI"/>
          <w:i/>
          <w:sz w:val="16"/>
          <w:szCs w:val="16"/>
        </w:rPr>
        <w:t>,  </w:t>
      </w:r>
      <w:hyperlink r:id="rId17" w:anchor="Vallee_Gatineau" w:history="1">
        <w:r w:rsidRPr="00D211DD">
          <w:rPr>
            <w:rFonts w:ascii="Segoe UI" w:eastAsia="Gill Sans MT" w:hAnsi="Segoe UI" w:cs="Segoe UI"/>
            <w:i/>
            <w:sz w:val="16"/>
            <w:szCs w:val="16"/>
          </w:rPr>
          <w:t>La Vallée-de-la-Gatineau</w:t>
        </w:r>
      </w:hyperlink>
      <w:r w:rsidRPr="00D211DD">
        <w:rPr>
          <w:rFonts w:ascii="Segoe UI" w:eastAsia="Gill Sans MT" w:hAnsi="Segoe UI" w:cs="Segoe UI"/>
          <w:i/>
          <w:sz w:val="16"/>
          <w:szCs w:val="16"/>
        </w:rPr>
        <w:t xml:space="preserve">, </w:t>
      </w:r>
      <w:hyperlink r:id="rId18" w:anchor="Collines_Outaouais" w:history="1">
        <w:r w:rsidRPr="00D211DD">
          <w:rPr>
            <w:rFonts w:ascii="Segoe UI" w:eastAsia="Gill Sans MT" w:hAnsi="Segoe UI" w:cs="Segoe UI"/>
            <w:i/>
            <w:sz w:val="16"/>
            <w:szCs w:val="16"/>
          </w:rPr>
          <w:t>Les Collines-de-l'Outaouais</w:t>
        </w:r>
      </w:hyperlink>
      <w:r w:rsidRPr="00D211DD">
        <w:rPr>
          <w:rFonts w:ascii="Segoe UI" w:eastAsia="Gill Sans MT" w:hAnsi="Segoe UI" w:cs="Segoe UI"/>
          <w:i/>
          <w:sz w:val="16"/>
          <w:szCs w:val="16"/>
        </w:rPr>
        <w:t xml:space="preserve">, </w:t>
      </w:r>
      <w:hyperlink r:id="rId19" w:anchor="Papineau" w:history="1">
        <w:r w:rsidRPr="00D211DD">
          <w:rPr>
            <w:rFonts w:ascii="Segoe UI" w:eastAsia="Gill Sans MT" w:hAnsi="Segoe UI" w:cs="Segoe UI"/>
            <w:i/>
            <w:sz w:val="16"/>
            <w:szCs w:val="16"/>
          </w:rPr>
          <w:t>Papineau</w:t>
        </w:r>
      </w:hyperlink>
      <w:r w:rsidRPr="00D211DD">
        <w:rPr>
          <w:rFonts w:ascii="Segoe UI" w:eastAsia="Gill Sans MT" w:hAnsi="Segoe UI" w:cs="Segoe UI"/>
          <w:i/>
          <w:sz w:val="16"/>
          <w:szCs w:val="16"/>
        </w:rPr>
        <w:t xml:space="preserve">, </w:t>
      </w:r>
      <w:hyperlink r:id="rId20" w:anchor="Pontiac" w:history="1">
        <w:r w:rsidRPr="00D211DD">
          <w:rPr>
            <w:rFonts w:ascii="Segoe UI" w:eastAsia="Gill Sans MT" w:hAnsi="Segoe UI" w:cs="Segoe UI"/>
            <w:i/>
            <w:sz w:val="16"/>
            <w:szCs w:val="16"/>
          </w:rPr>
          <w:t>Pontiac</w:t>
        </w:r>
      </w:hyperlink>
      <w:r w:rsidRPr="00D211DD">
        <w:rPr>
          <w:rFonts w:ascii="Segoe UI" w:eastAsia="Gill Sans MT" w:hAnsi="Segoe UI" w:cs="Segoe UI"/>
          <w:i/>
          <w:sz w:val="16"/>
          <w:szCs w:val="16"/>
        </w:rPr>
        <w:t>).</w:t>
      </w:r>
    </w:p>
    <w:p w:rsidR="000D2239" w:rsidRPr="000D2239" w:rsidRDefault="000D2239" w:rsidP="000D2239">
      <w:pPr>
        <w:tabs>
          <w:tab w:val="left" w:pos="0"/>
        </w:tabs>
        <w:spacing w:after="0" w:line="360" w:lineRule="auto"/>
        <w:jc w:val="both"/>
        <w:rPr>
          <w:rFonts w:ascii="Arial" w:eastAsia="Gill Sans MT" w:hAnsi="Arial" w:cs="Arial"/>
        </w:rPr>
      </w:pPr>
      <w:r w:rsidRPr="000D2239">
        <w:rPr>
          <w:rFonts w:ascii="Arial" w:eastAsia="Gill Sans MT" w:hAnsi="Arial" w:cs="Arial"/>
        </w:rPr>
        <w:lastRenderedPageBreak/>
        <w:t xml:space="preserve">Selon cette perspective démographique relevée de l’Institut de la statistique du Québec, le nombre de ménages privés des municipalités régionales de comté (MRC) de l’Outaouais est en constante hausse de 2011 à 2036. Ces informations sont générales étant donné qu’il est question de la population globale plutôt qu’uniquement les personnes âgées, mais elles permettent de comprendre que l’ensemble de la population s’accroîtra selon les projections. </w:t>
      </w:r>
    </w:p>
    <w:p w:rsidR="000D2239" w:rsidRDefault="000D2239" w:rsidP="000D2239">
      <w:pPr>
        <w:tabs>
          <w:tab w:val="left" w:pos="0"/>
        </w:tabs>
        <w:spacing w:after="0" w:line="259" w:lineRule="auto"/>
        <w:ind w:left="720"/>
        <w:contextualSpacing/>
        <w:jc w:val="center"/>
        <w:rPr>
          <w:rFonts w:ascii="Arial" w:eastAsia="Gill Sans MT" w:hAnsi="Arial" w:cs="Arial"/>
          <w:b/>
        </w:rPr>
      </w:pPr>
    </w:p>
    <w:p w:rsidR="000D2239" w:rsidRPr="000D2239" w:rsidRDefault="000D2239" w:rsidP="000D2239">
      <w:pPr>
        <w:tabs>
          <w:tab w:val="left" w:pos="0"/>
        </w:tabs>
        <w:spacing w:after="0" w:line="259" w:lineRule="auto"/>
        <w:ind w:left="720"/>
        <w:contextualSpacing/>
        <w:jc w:val="center"/>
        <w:rPr>
          <w:rFonts w:ascii="Arial" w:eastAsia="Gill Sans MT" w:hAnsi="Arial" w:cs="Arial"/>
          <w:b/>
        </w:rPr>
      </w:pPr>
    </w:p>
    <w:p w:rsidR="000D2239" w:rsidRDefault="000D2239" w:rsidP="000D2239">
      <w:pPr>
        <w:keepNext/>
        <w:keepLines/>
        <w:spacing w:before="150" w:after="0" w:line="360" w:lineRule="auto"/>
        <w:jc w:val="both"/>
        <w:outlineLvl w:val="0"/>
        <w:rPr>
          <w:rFonts w:ascii="Arial" w:eastAsia="Times New Roman" w:hAnsi="Arial" w:cs="Arial"/>
          <w:b/>
        </w:rPr>
      </w:pPr>
      <w:r w:rsidRPr="000D2239">
        <w:rPr>
          <w:rFonts w:ascii="Arial" w:eastAsia="Times New Roman" w:hAnsi="Arial" w:cs="Arial"/>
          <w:b/>
        </w:rPr>
        <w:t>Perspectives démographiques : nombre de ménages privés, MRC de l'Outaouais, 2011, 2016, 2021, 2026, 2031 et 2036</w:t>
      </w:r>
    </w:p>
    <w:p w:rsidR="000D2239" w:rsidRPr="000D2239" w:rsidRDefault="000D2239" w:rsidP="000D2239">
      <w:pPr>
        <w:keepNext/>
        <w:keepLines/>
        <w:spacing w:before="150" w:after="0" w:line="360" w:lineRule="auto"/>
        <w:jc w:val="both"/>
        <w:outlineLvl w:val="0"/>
        <w:rPr>
          <w:rFonts w:ascii="Arial" w:eastAsia="Times New Roman" w:hAnsi="Arial" w:cs="Arial"/>
          <w:b/>
        </w:rPr>
      </w:pPr>
    </w:p>
    <w:p w:rsidR="000D2239" w:rsidRPr="000D2239" w:rsidRDefault="000D2239" w:rsidP="000D2239">
      <w:pPr>
        <w:contextualSpacing/>
        <w:jc w:val="both"/>
        <w:rPr>
          <w:rFonts w:ascii="Segoe UI" w:eastAsia="Calibri" w:hAnsi="Segoe UI" w:cs="Segoe UI"/>
          <w:color w:val="221E1F"/>
          <w:sz w:val="16"/>
          <w:szCs w:val="20"/>
        </w:rPr>
      </w:pPr>
    </w:p>
    <w:p w:rsidR="000D2239" w:rsidRPr="000D2239" w:rsidRDefault="000D2239" w:rsidP="000D2239">
      <w:pPr>
        <w:ind w:left="720" w:hanging="1620"/>
        <w:contextualSpacing/>
        <w:jc w:val="both"/>
        <w:rPr>
          <w:rFonts w:ascii="Segoe UI" w:eastAsia="Calibri" w:hAnsi="Segoe UI" w:cs="Segoe UI"/>
          <w:color w:val="221E1F"/>
          <w:sz w:val="16"/>
          <w:szCs w:val="20"/>
        </w:rPr>
      </w:pPr>
      <w:r w:rsidRPr="000D2239">
        <w:rPr>
          <w:rFonts w:ascii="Segoe UI" w:eastAsia="Calibri" w:hAnsi="Segoe UI" w:cs="Segoe UI"/>
          <w:noProof/>
          <w:color w:val="221E1F"/>
          <w:sz w:val="16"/>
          <w:szCs w:val="20"/>
          <w:lang w:val="en-CA" w:eastAsia="en-CA"/>
        </w:rPr>
        <w:drawing>
          <wp:inline distT="0" distB="0" distL="0" distR="0" wp14:anchorId="242A504B" wp14:editId="06570452">
            <wp:extent cx="6630471" cy="3419061"/>
            <wp:effectExtent l="0" t="0" r="0" b="0"/>
            <wp:docPr id="6" name="Image 6" descr="C:\Users\vinny\Pictures\cocotte\20 juille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ny\Pictures\cocotte\20 juillet\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5503" cy="3452595"/>
                    </a:xfrm>
                    <a:prstGeom prst="rect">
                      <a:avLst/>
                    </a:prstGeom>
                    <a:noFill/>
                    <a:ln>
                      <a:noFill/>
                    </a:ln>
                  </pic:spPr>
                </pic:pic>
              </a:graphicData>
            </a:graphic>
          </wp:inline>
        </w:drawing>
      </w:r>
    </w:p>
    <w:p w:rsidR="000D2239" w:rsidRDefault="000D2239" w:rsidP="000D2239">
      <w:pPr>
        <w:spacing w:line="259" w:lineRule="auto"/>
        <w:jc w:val="both"/>
        <w:rPr>
          <w:rFonts w:ascii="Segoe UI" w:eastAsia="Gill Sans MT" w:hAnsi="Segoe UI" w:cs="Segoe UI"/>
          <w:sz w:val="16"/>
          <w:szCs w:val="16"/>
        </w:rPr>
      </w:pPr>
    </w:p>
    <w:p w:rsidR="000D2239" w:rsidRDefault="000D2239" w:rsidP="000D2239">
      <w:pPr>
        <w:spacing w:line="259" w:lineRule="auto"/>
        <w:jc w:val="both"/>
        <w:rPr>
          <w:rFonts w:ascii="Segoe UI" w:eastAsia="Gill Sans MT" w:hAnsi="Segoe UI" w:cs="Segoe UI"/>
          <w:sz w:val="16"/>
          <w:szCs w:val="16"/>
        </w:rPr>
      </w:pPr>
    </w:p>
    <w:p w:rsidR="000D2239" w:rsidRPr="000D2239" w:rsidRDefault="000D2239" w:rsidP="000D2239">
      <w:pPr>
        <w:spacing w:line="259" w:lineRule="auto"/>
        <w:jc w:val="both"/>
        <w:rPr>
          <w:rFonts w:ascii="Segoe UI" w:eastAsia="Gill Sans MT" w:hAnsi="Segoe UI" w:cs="Segoe UI"/>
          <w:i/>
          <w:sz w:val="16"/>
          <w:szCs w:val="16"/>
        </w:rPr>
      </w:pPr>
      <w:r w:rsidRPr="000D2239">
        <w:rPr>
          <w:rFonts w:ascii="Segoe UI" w:eastAsia="Gill Sans MT" w:hAnsi="Segoe UI" w:cs="Segoe UI"/>
          <w:sz w:val="16"/>
          <w:szCs w:val="16"/>
        </w:rPr>
        <w:t xml:space="preserve">Gouvernement du Québec. Institut de la statistique  Québec. (2015). </w:t>
      </w:r>
      <w:r w:rsidRPr="000D2239">
        <w:rPr>
          <w:rFonts w:ascii="Segoe UI" w:eastAsia="Gill Sans MT" w:hAnsi="Segoe UI" w:cs="Segoe UI"/>
          <w:i/>
          <w:sz w:val="16"/>
          <w:szCs w:val="16"/>
        </w:rPr>
        <w:t>Perspectives démographiques, selon le groupe d'âge et le sexe, MRC de l'Outaouais, Scénario A2, 2011, 2016, 2021, 2026, 2031 et 2036.</w:t>
      </w:r>
      <w:r w:rsidRPr="000D2239">
        <w:rPr>
          <w:rFonts w:ascii="Gill Sans MT" w:eastAsia="Gill Sans MT" w:hAnsi="Gill Sans MT" w:cs="Times New Roman"/>
        </w:rPr>
        <w:t xml:space="preserve"> </w:t>
      </w:r>
      <w:r w:rsidRPr="000D2239">
        <w:rPr>
          <w:rFonts w:ascii="Segoe UI" w:eastAsia="Gill Sans MT" w:hAnsi="Segoe UI" w:cs="Segoe UI"/>
          <w:sz w:val="16"/>
        </w:rPr>
        <w:t>(</w:t>
      </w:r>
      <w:hyperlink r:id="rId22" w:anchor="Gatineau" w:history="1">
        <w:r w:rsidRPr="000D2239">
          <w:rPr>
            <w:rFonts w:ascii="Segoe UI" w:eastAsia="Gill Sans MT" w:hAnsi="Segoe UI" w:cs="Segoe UI"/>
            <w:i/>
            <w:sz w:val="16"/>
            <w:szCs w:val="16"/>
          </w:rPr>
          <w:t>Gatineau</w:t>
        </w:r>
      </w:hyperlink>
      <w:r w:rsidRPr="000D2239">
        <w:rPr>
          <w:rFonts w:ascii="Segoe UI" w:eastAsia="Gill Sans MT" w:hAnsi="Segoe UI" w:cs="Segoe UI"/>
          <w:i/>
          <w:sz w:val="16"/>
          <w:szCs w:val="16"/>
        </w:rPr>
        <w:t>,  </w:t>
      </w:r>
      <w:hyperlink r:id="rId23" w:anchor="Vallee_Gatineau" w:history="1">
        <w:r w:rsidRPr="000D2239">
          <w:rPr>
            <w:rFonts w:ascii="Segoe UI" w:eastAsia="Gill Sans MT" w:hAnsi="Segoe UI" w:cs="Segoe UI"/>
            <w:i/>
            <w:sz w:val="16"/>
            <w:szCs w:val="16"/>
          </w:rPr>
          <w:t>La Vallée-de-la-Gatineau</w:t>
        </w:r>
      </w:hyperlink>
      <w:r w:rsidRPr="000D2239">
        <w:rPr>
          <w:rFonts w:ascii="Segoe UI" w:eastAsia="Gill Sans MT" w:hAnsi="Segoe UI" w:cs="Segoe UI"/>
          <w:i/>
          <w:sz w:val="16"/>
          <w:szCs w:val="16"/>
        </w:rPr>
        <w:t xml:space="preserve">, </w:t>
      </w:r>
      <w:hyperlink r:id="rId24" w:anchor="Collines_Outaouais" w:history="1">
        <w:r w:rsidRPr="000D2239">
          <w:rPr>
            <w:rFonts w:ascii="Segoe UI" w:eastAsia="Gill Sans MT" w:hAnsi="Segoe UI" w:cs="Segoe UI"/>
            <w:i/>
            <w:sz w:val="16"/>
            <w:szCs w:val="16"/>
          </w:rPr>
          <w:t>Les Collines-de-l'Outaouais</w:t>
        </w:r>
      </w:hyperlink>
      <w:r w:rsidRPr="000D2239">
        <w:rPr>
          <w:rFonts w:ascii="Segoe UI" w:eastAsia="Gill Sans MT" w:hAnsi="Segoe UI" w:cs="Segoe UI"/>
          <w:i/>
          <w:sz w:val="16"/>
          <w:szCs w:val="16"/>
        </w:rPr>
        <w:t xml:space="preserve">, </w:t>
      </w:r>
      <w:hyperlink r:id="rId25" w:anchor="Papineau" w:history="1">
        <w:r w:rsidRPr="000D2239">
          <w:rPr>
            <w:rFonts w:ascii="Segoe UI" w:eastAsia="Gill Sans MT" w:hAnsi="Segoe UI" w:cs="Segoe UI"/>
            <w:i/>
            <w:sz w:val="16"/>
            <w:szCs w:val="16"/>
          </w:rPr>
          <w:t>Papineau</w:t>
        </w:r>
      </w:hyperlink>
      <w:r w:rsidRPr="000D2239">
        <w:rPr>
          <w:rFonts w:ascii="Segoe UI" w:eastAsia="Gill Sans MT" w:hAnsi="Segoe UI" w:cs="Segoe UI"/>
          <w:i/>
          <w:sz w:val="16"/>
          <w:szCs w:val="16"/>
        </w:rPr>
        <w:t xml:space="preserve">, </w:t>
      </w:r>
      <w:hyperlink r:id="rId26" w:anchor="Pontiac" w:history="1">
        <w:r w:rsidRPr="000D2239">
          <w:rPr>
            <w:rFonts w:ascii="Segoe UI" w:eastAsia="Gill Sans MT" w:hAnsi="Segoe UI" w:cs="Segoe UI"/>
            <w:i/>
            <w:sz w:val="16"/>
            <w:szCs w:val="16"/>
          </w:rPr>
          <w:t>Pontiac</w:t>
        </w:r>
      </w:hyperlink>
      <w:r w:rsidRPr="000D2239">
        <w:rPr>
          <w:rFonts w:ascii="Segoe UI" w:eastAsia="Gill Sans MT" w:hAnsi="Segoe UI" w:cs="Segoe UI"/>
          <w:i/>
          <w:sz w:val="16"/>
          <w:szCs w:val="16"/>
        </w:rPr>
        <w:t xml:space="preserve">). </w:t>
      </w:r>
    </w:p>
    <w:p w:rsidR="000D2239" w:rsidRPr="000D2239" w:rsidRDefault="000D2239" w:rsidP="000D2239">
      <w:pPr>
        <w:contextualSpacing/>
        <w:jc w:val="both"/>
        <w:rPr>
          <w:rFonts w:ascii="Segoe UI" w:eastAsia="Calibri" w:hAnsi="Segoe UI" w:cs="Segoe UI"/>
          <w:color w:val="221E1F"/>
          <w:sz w:val="16"/>
          <w:szCs w:val="20"/>
        </w:rPr>
      </w:pPr>
    </w:p>
    <w:p w:rsidR="000D2239" w:rsidRDefault="000D2239" w:rsidP="00D211DD">
      <w:pPr>
        <w:jc w:val="both"/>
        <w:rPr>
          <w:rFonts w:ascii="Segoe UI" w:eastAsia="Gill Sans MT" w:hAnsi="Segoe UI" w:cs="Segoe UI"/>
          <w:i/>
          <w:sz w:val="16"/>
          <w:szCs w:val="16"/>
        </w:rPr>
      </w:pPr>
    </w:p>
    <w:p w:rsidR="000D2239" w:rsidRDefault="000D2239" w:rsidP="00D211DD">
      <w:pPr>
        <w:jc w:val="both"/>
        <w:rPr>
          <w:rFonts w:ascii="Segoe UI" w:eastAsia="Gill Sans MT" w:hAnsi="Segoe UI" w:cs="Segoe UI"/>
          <w:i/>
          <w:sz w:val="16"/>
          <w:szCs w:val="16"/>
        </w:rPr>
      </w:pPr>
    </w:p>
    <w:p w:rsidR="000D2239" w:rsidRPr="00D211DD" w:rsidRDefault="000D2239" w:rsidP="00D211DD">
      <w:pPr>
        <w:jc w:val="both"/>
        <w:rPr>
          <w:rFonts w:ascii="Segoe UI" w:eastAsia="Gill Sans MT" w:hAnsi="Segoe UI" w:cs="Segoe UI"/>
          <w:i/>
          <w:sz w:val="16"/>
          <w:szCs w:val="16"/>
        </w:rPr>
      </w:pPr>
    </w:p>
    <w:tbl>
      <w:tblPr>
        <w:tblStyle w:val="Grilledutableau"/>
        <w:tblW w:w="0" w:type="auto"/>
        <w:tblInd w:w="0" w:type="dxa"/>
        <w:tblLook w:val="04A0" w:firstRow="1" w:lastRow="0" w:firstColumn="1" w:lastColumn="0" w:noHBand="0" w:noVBand="1"/>
      </w:tblPr>
      <w:tblGrid>
        <w:gridCol w:w="8630"/>
      </w:tblGrid>
      <w:tr w:rsidR="00AF23DD" w:rsidTr="00C133CE">
        <w:tc>
          <w:tcPr>
            <w:tcW w:w="8630" w:type="dxa"/>
            <w:shd w:val="clear" w:color="auto" w:fill="000000" w:themeFill="text1"/>
          </w:tcPr>
          <w:p w:rsidR="00AF23DD" w:rsidRDefault="00AF23DD" w:rsidP="00AF23DD">
            <w:pPr>
              <w:jc w:val="center"/>
              <w:rPr>
                <w:rFonts w:ascii="Arial" w:hAnsi="Arial" w:cs="Arial"/>
                <w:b/>
              </w:rPr>
            </w:pPr>
          </w:p>
          <w:p w:rsidR="00AF23DD" w:rsidRPr="00AF23DD" w:rsidRDefault="00C133CE" w:rsidP="00AF23DD">
            <w:pPr>
              <w:spacing w:line="240" w:lineRule="auto"/>
              <w:jc w:val="center"/>
              <w:rPr>
                <w:rFonts w:ascii="Arial" w:hAnsi="Arial" w:cs="Arial"/>
                <w:b/>
                <w:sz w:val="28"/>
              </w:rPr>
            </w:pPr>
            <w:r>
              <w:rPr>
                <w:rFonts w:ascii="Arial" w:hAnsi="Arial" w:cs="Arial"/>
                <w:b/>
                <w:sz w:val="28"/>
              </w:rPr>
              <w:t xml:space="preserve">3. </w:t>
            </w:r>
            <w:r w:rsidR="00AF23DD" w:rsidRPr="00AF23DD">
              <w:rPr>
                <w:rFonts w:ascii="Arial" w:hAnsi="Arial" w:cs="Arial"/>
                <w:b/>
                <w:sz w:val="28"/>
              </w:rPr>
              <w:t xml:space="preserve">Démographie des aînés au Québec </w:t>
            </w:r>
          </w:p>
          <w:p w:rsidR="00AF23DD" w:rsidRDefault="00AF23DD" w:rsidP="00D211DD">
            <w:pPr>
              <w:jc w:val="center"/>
              <w:rPr>
                <w:rFonts w:ascii="Arial" w:hAnsi="Arial" w:cs="Arial"/>
                <w:b/>
              </w:rPr>
            </w:pPr>
          </w:p>
        </w:tc>
      </w:tr>
    </w:tbl>
    <w:p w:rsidR="00D211DD" w:rsidRDefault="00D211DD" w:rsidP="00D211DD">
      <w:pPr>
        <w:jc w:val="center"/>
        <w:rPr>
          <w:rFonts w:ascii="Arial" w:hAnsi="Arial" w:cs="Arial"/>
          <w:b/>
        </w:rPr>
      </w:pPr>
    </w:p>
    <w:p w:rsidR="00AF23DD" w:rsidRDefault="00AF23DD" w:rsidP="00D211DD">
      <w:pPr>
        <w:jc w:val="center"/>
        <w:rPr>
          <w:rFonts w:ascii="Arial" w:hAnsi="Arial" w:cs="Arial"/>
          <w:b/>
        </w:rPr>
      </w:pPr>
    </w:p>
    <w:p w:rsidR="00D211DD" w:rsidRPr="00D211DD" w:rsidRDefault="00D211DD" w:rsidP="00D211DD">
      <w:pPr>
        <w:spacing w:line="360" w:lineRule="auto"/>
        <w:jc w:val="both"/>
        <w:rPr>
          <w:rFonts w:ascii="Arial" w:eastAsia="Gill Sans MT" w:hAnsi="Arial" w:cs="Arial"/>
        </w:rPr>
      </w:pPr>
      <w:r w:rsidRPr="00D211DD">
        <w:rPr>
          <w:rFonts w:ascii="Arial" w:eastAsia="Gill Sans MT" w:hAnsi="Arial" w:cs="Arial"/>
        </w:rPr>
        <w:t>La population totale au Québec compte 8 263 600 habitants. Voici une représentation du nombre et du taux d’habitant au Québec selon trois catégories d’âge en 2015.</w:t>
      </w:r>
    </w:p>
    <w:p w:rsidR="00D211DD" w:rsidRPr="00D211DD" w:rsidRDefault="00D211DD" w:rsidP="00D211DD">
      <w:pPr>
        <w:jc w:val="center"/>
        <w:rPr>
          <w:rFonts w:ascii="Arial" w:eastAsia="Gill Sans MT" w:hAnsi="Arial" w:cs="Arial"/>
          <w:b/>
        </w:rPr>
      </w:pPr>
    </w:p>
    <w:p w:rsidR="00D211DD" w:rsidRPr="00D211DD" w:rsidRDefault="00D211DD" w:rsidP="00D211DD">
      <w:pPr>
        <w:jc w:val="both"/>
        <w:rPr>
          <w:rFonts w:ascii="Arial" w:eastAsia="Gill Sans MT" w:hAnsi="Arial" w:cs="Arial"/>
          <w:b/>
        </w:rPr>
      </w:pPr>
      <w:r w:rsidRPr="00D211DD">
        <w:rPr>
          <w:rFonts w:ascii="Gill Sans MT" w:eastAsia="Gill Sans MT" w:hAnsi="Gill Sans MT" w:cs="Times New Roman"/>
          <w:b/>
          <w:noProof/>
          <w:lang w:val="en-CA" w:eastAsia="en-CA"/>
        </w:rPr>
        <w:drawing>
          <wp:inline distT="0" distB="0" distL="0" distR="0" wp14:anchorId="7748A65C" wp14:editId="661AA76B">
            <wp:extent cx="5478145" cy="4587875"/>
            <wp:effectExtent l="0" t="0" r="8255" b="3175"/>
            <wp:docPr id="14" name="Graphique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11DD" w:rsidRPr="00D211DD" w:rsidRDefault="00D211DD" w:rsidP="00D211DD">
      <w:pPr>
        <w:jc w:val="both"/>
        <w:rPr>
          <w:rFonts w:ascii="Arial" w:eastAsia="Gill Sans MT" w:hAnsi="Arial" w:cs="Arial"/>
          <w:b/>
        </w:rPr>
      </w:pPr>
    </w:p>
    <w:p w:rsidR="00D211DD" w:rsidRPr="00D211DD" w:rsidRDefault="00D211DD" w:rsidP="00D211DD">
      <w:pPr>
        <w:tabs>
          <w:tab w:val="left" w:pos="720"/>
          <w:tab w:val="left" w:pos="1440"/>
        </w:tabs>
        <w:spacing w:line="254" w:lineRule="auto"/>
        <w:ind w:left="720" w:hanging="720"/>
        <w:contextualSpacing/>
        <w:jc w:val="both"/>
        <w:rPr>
          <w:rFonts w:ascii="Segoe UI" w:eastAsia="Calibri" w:hAnsi="Segoe UI" w:cs="Segoe UI"/>
          <w:i/>
          <w:sz w:val="16"/>
          <w:szCs w:val="16"/>
        </w:rPr>
      </w:pPr>
      <w:r w:rsidRPr="00D211DD">
        <w:rPr>
          <w:rFonts w:ascii="Segoe UI" w:eastAsia="Calibri" w:hAnsi="Segoe UI" w:cs="Segoe UI"/>
          <w:sz w:val="16"/>
          <w:szCs w:val="16"/>
        </w:rPr>
        <w:t xml:space="preserve">Gouvernement du Québec, Institut de la statistique Québec. (2015). </w:t>
      </w:r>
      <w:r w:rsidRPr="00D211DD">
        <w:rPr>
          <w:rFonts w:ascii="Segoe UI" w:eastAsia="Calibri" w:hAnsi="Segoe UI" w:cs="Segoe UI"/>
          <w:i/>
          <w:sz w:val="16"/>
          <w:szCs w:val="16"/>
        </w:rPr>
        <w:t>L’Outaouais ainsi que ses municipalités régionales de</w:t>
      </w:r>
    </w:p>
    <w:p w:rsidR="00D211DD" w:rsidRPr="00D211DD" w:rsidRDefault="00D211DD" w:rsidP="00D211DD">
      <w:pPr>
        <w:tabs>
          <w:tab w:val="left" w:pos="720"/>
          <w:tab w:val="left" w:pos="1440"/>
        </w:tabs>
        <w:spacing w:line="254" w:lineRule="auto"/>
        <w:ind w:left="720" w:hanging="720"/>
        <w:contextualSpacing/>
        <w:jc w:val="both"/>
        <w:rPr>
          <w:rFonts w:ascii="Calibri" w:eastAsia="Calibri" w:hAnsi="Calibri" w:cs="Times New Roman"/>
          <w:color w:val="0563C1"/>
          <w:sz w:val="16"/>
          <w:szCs w:val="16"/>
          <w:u w:val="single"/>
        </w:rPr>
      </w:pPr>
      <w:r w:rsidRPr="00D211DD">
        <w:rPr>
          <w:rFonts w:ascii="Segoe UI" w:eastAsia="Calibri" w:hAnsi="Segoe UI" w:cs="Segoe UI"/>
          <w:i/>
          <w:sz w:val="16"/>
          <w:szCs w:val="16"/>
        </w:rPr>
        <w:t>comté (MRC).</w:t>
      </w:r>
      <w:r w:rsidRPr="00D211DD">
        <w:rPr>
          <w:rFonts w:ascii="Segoe UI" w:eastAsia="Calibri" w:hAnsi="Segoe UI" w:cs="Segoe UI"/>
          <w:sz w:val="16"/>
          <w:szCs w:val="16"/>
        </w:rPr>
        <w:t xml:space="preserve"> Repéré dans : </w:t>
      </w:r>
      <w:hyperlink r:id="rId28" w:history="1">
        <w:r w:rsidRPr="00D211DD">
          <w:rPr>
            <w:rFonts w:ascii="Segoe UI" w:eastAsia="Calibri" w:hAnsi="Segoe UI" w:cs="Segoe UI"/>
            <w:color w:val="0563C1"/>
            <w:sz w:val="16"/>
            <w:szCs w:val="16"/>
            <w:u w:val="single"/>
          </w:rPr>
          <w:t>http://www.stat.gouv.qc.ca/statistiques/profils/region_07/region_07_00.htm</w:t>
        </w:r>
      </w:hyperlink>
    </w:p>
    <w:p w:rsidR="00D211DD" w:rsidRDefault="00D211DD" w:rsidP="00D211DD">
      <w:pPr>
        <w:spacing w:line="360" w:lineRule="auto"/>
        <w:jc w:val="both"/>
        <w:rPr>
          <w:rFonts w:ascii="Arial" w:eastAsia="Gill Sans MT" w:hAnsi="Arial" w:cs="Arial"/>
        </w:rPr>
      </w:pPr>
    </w:p>
    <w:p w:rsidR="00D211DD" w:rsidRDefault="00D211DD" w:rsidP="00D211DD">
      <w:pPr>
        <w:spacing w:line="360" w:lineRule="auto"/>
        <w:jc w:val="both"/>
        <w:rPr>
          <w:rFonts w:ascii="Arial" w:eastAsia="Gill Sans MT" w:hAnsi="Arial" w:cs="Arial"/>
        </w:rPr>
      </w:pPr>
    </w:p>
    <w:p w:rsidR="00A868CC" w:rsidRDefault="00A868CC" w:rsidP="00D211DD">
      <w:pPr>
        <w:spacing w:line="360" w:lineRule="auto"/>
        <w:jc w:val="both"/>
        <w:rPr>
          <w:rFonts w:ascii="Arial" w:eastAsia="Gill Sans MT" w:hAnsi="Arial" w:cs="Arial"/>
        </w:rPr>
      </w:pPr>
    </w:p>
    <w:tbl>
      <w:tblPr>
        <w:tblStyle w:val="Grilledutableau"/>
        <w:tblW w:w="0" w:type="auto"/>
        <w:tblInd w:w="0" w:type="dxa"/>
        <w:tblLook w:val="04A0" w:firstRow="1" w:lastRow="0" w:firstColumn="1" w:lastColumn="0" w:noHBand="0" w:noVBand="1"/>
      </w:tblPr>
      <w:tblGrid>
        <w:gridCol w:w="8630"/>
      </w:tblGrid>
      <w:tr w:rsidR="00A868CC" w:rsidTr="00A868CC">
        <w:tc>
          <w:tcPr>
            <w:tcW w:w="8630" w:type="dxa"/>
            <w:shd w:val="clear" w:color="auto" w:fill="000000" w:themeFill="text1"/>
          </w:tcPr>
          <w:p w:rsidR="00A868CC" w:rsidRDefault="00A868CC" w:rsidP="00AD79DA">
            <w:pPr>
              <w:spacing w:line="240" w:lineRule="auto"/>
              <w:jc w:val="both"/>
              <w:rPr>
                <w:rFonts w:ascii="Arial" w:eastAsia="Gill Sans MT" w:hAnsi="Arial" w:cs="Arial"/>
              </w:rPr>
            </w:pPr>
          </w:p>
          <w:p w:rsidR="00A868CC" w:rsidRDefault="00A868CC" w:rsidP="00AD79DA">
            <w:pPr>
              <w:spacing w:line="240" w:lineRule="auto"/>
              <w:jc w:val="center"/>
              <w:rPr>
                <w:rFonts w:ascii="Arial" w:eastAsia="Gill Sans MT" w:hAnsi="Arial" w:cs="Arial"/>
                <w:b/>
                <w:color w:val="FFFFFF" w:themeColor="background1"/>
                <w:sz w:val="28"/>
              </w:rPr>
            </w:pPr>
            <w:r>
              <w:rPr>
                <w:rFonts w:ascii="Arial" w:eastAsia="Gill Sans MT" w:hAnsi="Arial" w:cs="Arial"/>
                <w:b/>
                <w:color w:val="FFFFFF" w:themeColor="background1"/>
                <w:sz w:val="28"/>
              </w:rPr>
              <w:t>3.1 Caractéristiques démographiques et globales au Québec</w:t>
            </w:r>
          </w:p>
          <w:p w:rsidR="00AD79DA" w:rsidRPr="00A868CC" w:rsidRDefault="00AD79DA" w:rsidP="00A868CC">
            <w:pPr>
              <w:spacing w:line="360" w:lineRule="auto"/>
              <w:jc w:val="center"/>
              <w:rPr>
                <w:rFonts w:ascii="Arial" w:eastAsia="Gill Sans MT" w:hAnsi="Arial" w:cs="Arial"/>
                <w:b/>
                <w:color w:val="FFFFFF" w:themeColor="background1"/>
                <w:sz w:val="28"/>
              </w:rPr>
            </w:pPr>
          </w:p>
        </w:tc>
      </w:tr>
    </w:tbl>
    <w:p w:rsidR="00A868CC" w:rsidRDefault="00A868CC" w:rsidP="00D211DD">
      <w:pPr>
        <w:spacing w:line="360" w:lineRule="auto"/>
        <w:jc w:val="both"/>
        <w:rPr>
          <w:rFonts w:ascii="Arial" w:eastAsia="Gill Sans MT" w:hAnsi="Arial" w:cs="Arial"/>
        </w:rPr>
      </w:pPr>
    </w:p>
    <w:p w:rsidR="00A868CC" w:rsidRDefault="00A868CC" w:rsidP="00D211DD">
      <w:pPr>
        <w:spacing w:line="360" w:lineRule="auto"/>
        <w:jc w:val="both"/>
        <w:rPr>
          <w:rFonts w:ascii="Arial" w:eastAsia="Gill Sans MT" w:hAnsi="Arial" w:cs="Arial"/>
        </w:rPr>
      </w:pPr>
    </w:p>
    <w:p w:rsidR="0029482A" w:rsidRDefault="00D211DD" w:rsidP="0029482A">
      <w:pPr>
        <w:spacing w:line="360" w:lineRule="auto"/>
        <w:jc w:val="both"/>
        <w:rPr>
          <w:rFonts w:ascii="Arial" w:eastAsia="Gill Sans MT" w:hAnsi="Arial" w:cs="Arial"/>
        </w:rPr>
      </w:pPr>
      <w:r w:rsidRPr="00D211DD">
        <w:rPr>
          <w:rFonts w:ascii="Arial" w:eastAsia="Gill Sans MT" w:hAnsi="Arial" w:cs="Arial"/>
        </w:rPr>
        <w:t xml:space="preserve">Au Québec, il y a 1 452 515 individus âgés de 65 ans et plus, ce qui représente 17,58% de la population totale, qui est 8 263 600 habitants. </w:t>
      </w:r>
      <w:r w:rsidR="0029482A">
        <w:rPr>
          <w:rFonts w:ascii="Arial" w:eastAsia="Gill Sans MT" w:hAnsi="Arial" w:cs="Arial"/>
        </w:rPr>
        <w:t xml:space="preserve">Il y a plus de gens âgés de 65 ans et plus que d’individus âgés de 0 à 14 ans et 15 à 24 ans. </w:t>
      </w:r>
    </w:p>
    <w:p w:rsidR="00AD79DA" w:rsidRPr="0029482A" w:rsidRDefault="00AD79DA" w:rsidP="0029482A">
      <w:pPr>
        <w:spacing w:line="360" w:lineRule="auto"/>
        <w:jc w:val="both"/>
        <w:rPr>
          <w:rFonts w:ascii="Arial" w:eastAsia="Gill Sans MT" w:hAnsi="Arial" w:cs="Arial"/>
        </w:rPr>
      </w:pPr>
    </w:p>
    <w:p w:rsidR="0029482A" w:rsidRPr="00D211DD" w:rsidRDefault="00D211DD" w:rsidP="00D211DD">
      <w:pPr>
        <w:jc w:val="center"/>
        <w:rPr>
          <w:rFonts w:ascii="Arial" w:eastAsia="Gill Sans MT" w:hAnsi="Arial" w:cs="Arial"/>
          <w:b/>
        </w:rPr>
      </w:pPr>
      <w:r w:rsidRPr="00D211DD">
        <w:rPr>
          <w:rFonts w:ascii="Arial" w:eastAsia="Gill Sans MT" w:hAnsi="Arial" w:cs="Arial"/>
          <w:b/>
          <w:noProof/>
          <w:lang w:val="en-CA" w:eastAsia="en-CA"/>
        </w:rPr>
        <w:drawing>
          <wp:inline distT="0" distB="0" distL="0" distR="0" wp14:anchorId="3923093D" wp14:editId="6C8C703F">
            <wp:extent cx="4643562" cy="5191760"/>
            <wp:effectExtent l="0" t="0" r="5080" b="8890"/>
            <wp:docPr id="15" name="Image 32" descr="QUEBEC I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QUEBEC IS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53358" cy="5202712"/>
                    </a:xfrm>
                    <a:prstGeom prst="rect">
                      <a:avLst/>
                    </a:prstGeom>
                    <a:noFill/>
                    <a:ln>
                      <a:noFill/>
                    </a:ln>
                  </pic:spPr>
                </pic:pic>
              </a:graphicData>
            </a:graphic>
          </wp:inline>
        </w:drawing>
      </w:r>
    </w:p>
    <w:p w:rsidR="00D211DD" w:rsidRPr="00D211DD" w:rsidRDefault="00D211DD" w:rsidP="00D211DD">
      <w:pPr>
        <w:tabs>
          <w:tab w:val="left" w:pos="720"/>
          <w:tab w:val="left" w:pos="1440"/>
        </w:tabs>
        <w:spacing w:line="254" w:lineRule="auto"/>
        <w:ind w:left="720" w:hanging="720"/>
        <w:contextualSpacing/>
        <w:jc w:val="both"/>
        <w:rPr>
          <w:rFonts w:ascii="Segoe UI" w:eastAsia="Calibri" w:hAnsi="Segoe UI" w:cs="Segoe UI"/>
          <w:i/>
          <w:sz w:val="16"/>
          <w:szCs w:val="16"/>
        </w:rPr>
      </w:pPr>
      <w:r w:rsidRPr="00D211DD">
        <w:rPr>
          <w:rFonts w:ascii="Segoe UI" w:eastAsia="Calibri" w:hAnsi="Segoe UI" w:cs="Segoe UI"/>
          <w:sz w:val="16"/>
          <w:szCs w:val="16"/>
        </w:rPr>
        <w:t xml:space="preserve">Gouvernement du Québec, Institut de la statistique Québec. (2015). </w:t>
      </w:r>
      <w:r w:rsidRPr="00D211DD">
        <w:rPr>
          <w:rFonts w:ascii="Segoe UI" w:eastAsia="Calibri" w:hAnsi="Segoe UI" w:cs="Segoe UI"/>
          <w:i/>
          <w:sz w:val="16"/>
          <w:szCs w:val="16"/>
        </w:rPr>
        <w:t>L’Outaouais ainsi que ses municipalités régionales de</w:t>
      </w:r>
    </w:p>
    <w:p w:rsidR="00D211DD" w:rsidRPr="00D211DD" w:rsidRDefault="00D211DD" w:rsidP="00D211DD">
      <w:pPr>
        <w:tabs>
          <w:tab w:val="left" w:pos="720"/>
          <w:tab w:val="left" w:pos="1440"/>
        </w:tabs>
        <w:spacing w:after="0" w:line="254" w:lineRule="auto"/>
        <w:ind w:left="720" w:hanging="720"/>
        <w:contextualSpacing/>
        <w:jc w:val="both"/>
        <w:rPr>
          <w:rFonts w:ascii="Segoe UI" w:eastAsia="Calibri" w:hAnsi="Segoe UI" w:cs="Segoe UI"/>
          <w:color w:val="0563C1"/>
          <w:sz w:val="16"/>
          <w:szCs w:val="16"/>
          <w:u w:val="single"/>
        </w:rPr>
      </w:pPr>
      <w:r w:rsidRPr="00D211DD">
        <w:rPr>
          <w:rFonts w:ascii="Segoe UI" w:eastAsia="Calibri" w:hAnsi="Segoe UI" w:cs="Segoe UI"/>
          <w:i/>
          <w:sz w:val="16"/>
          <w:szCs w:val="16"/>
        </w:rPr>
        <w:t>comté (MRC).</w:t>
      </w:r>
      <w:r w:rsidRPr="00D211DD">
        <w:rPr>
          <w:rFonts w:ascii="Segoe UI" w:eastAsia="Calibri" w:hAnsi="Segoe UI" w:cs="Segoe UI"/>
          <w:sz w:val="16"/>
          <w:szCs w:val="16"/>
        </w:rPr>
        <w:t xml:space="preserve"> Repéré dans : </w:t>
      </w:r>
      <w:hyperlink r:id="rId30" w:history="1">
        <w:r w:rsidRPr="00D211DD">
          <w:rPr>
            <w:rFonts w:ascii="Segoe UI" w:eastAsia="Calibri" w:hAnsi="Segoe UI" w:cs="Segoe UI"/>
            <w:color w:val="0563C1"/>
            <w:sz w:val="16"/>
            <w:szCs w:val="16"/>
            <w:u w:val="single"/>
          </w:rPr>
          <w:t>http://www.stat.gouv.qc.ca/statistiques/profils/region_07/region_07_00.htm</w:t>
        </w:r>
      </w:hyperlink>
    </w:p>
    <w:tbl>
      <w:tblPr>
        <w:tblStyle w:val="Grilledutableau"/>
        <w:tblW w:w="0" w:type="auto"/>
        <w:tblInd w:w="0" w:type="dxa"/>
        <w:tblLook w:val="04A0" w:firstRow="1" w:lastRow="0" w:firstColumn="1" w:lastColumn="0" w:noHBand="0" w:noVBand="1"/>
      </w:tblPr>
      <w:tblGrid>
        <w:gridCol w:w="8630"/>
      </w:tblGrid>
      <w:tr w:rsidR="00A868CC" w:rsidTr="00A868CC">
        <w:tc>
          <w:tcPr>
            <w:tcW w:w="8630" w:type="dxa"/>
            <w:shd w:val="clear" w:color="auto" w:fill="000000" w:themeFill="text1"/>
          </w:tcPr>
          <w:p w:rsidR="00A868CC" w:rsidRPr="00A868CC" w:rsidRDefault="00A868CC" w:rsidP="00D211DD">
            <w:pPr>
              <w:jc w:val="center"/>
              <w:rPr>
                <w:rFonts w:ascii="Arial" w:hAnsi="Arial" w:cs="Arial"/>
                <w:b/>
                <w:color w:val="FFFFFF" w:themeColor="background1"/>
                <w:sz w:val="36"/>
              </w:rPr>
            </w:pPr>
          </w:p>
          <w:p w:rsidR="00A868CC" w:rsidRPr="00A868CC" w:rsidRDefault="00A868CC" w:rsidP="00D211DD">
            <w:pPr>
              <w:jc w:val="center"/>
              <w:rPr>
                <w:rFonts w:ascii="Arial" w:hAnsi="Arial" w:cs="Arial"/>
                <w:b/>
                <w:sz w:val="28"/>
              </w:rPr>
            </w:pPr>
            <w:r w:rsidRPr="00A868CC">
              <w:rPr>
                <w:rFonts w:ascii="Arial" w:hAnsi="Arial" w:cs="Arial"/>
                <w:b/>
                <w:sz w:val="28"/>
              </w:rPr>
              <w:t>3.2 Démographie selon le sexe et l’âge</w:t>
            </w:r>
          </w:p>
          <w:p w:rsidR="00A868CC" w:rsidRDefault="00A868CC" w:rsidP="00D211DD">
            <w:pPr>
              <w:jc w:val="center"/>
              <w:rPr>
                <w:rFonts w:ascii="Arial" w:hAnsi="Arial" w:cs="Arial"/>
              </w:rPr>
            </w:pPr>
          </w:p>
        </w:tc>
      </w:tr>
    </w:tbl>
    <w:p w:rsidR="00D211DD" w:rsidRDefault="00D211DD" w:rsidP="00D211DD">
      <w:pPr>
        <w:jc w:val="center"/>
        <w:rPr>
          <w:rFonts w:ascii="Arial" w:hAnsi="Arial" w:cs="Arial"/>
        </w:rPr>
      </w:pPr>
    </w:p>
    <w:p w:rsidR="00A868CC" w:rsidRDefault="00A868CC" w:rsidP="00D211DD">
      <w:pPr>
        <w:jc w:val="center"/>
        <w:rPr>
          <w:rFonts w:ascii="Arial" w:hAnsi="Arial" w:cs="Arial"/>
        </w:rPr>
      </w:pPr>
    </w:p>
    <w:p w:rsidR="00D211DD" w:rsidRPr="00D211DD" w:rsidRDefault="00D211DD" w:rsidP="00D211DD">
      <w:pPr>
        <w:spacing w:line="360" w:lineRule="auto"/>
        <w:contextualSpacing/>
        <w:jc w:val="both"/>
        <w:rPr>
          <w:rFonts w:ascii="Arial" w:eastAsia="Gill Sans MT" w:hAnsi="Arial" w:cs="Arial"/>
        </w:rPr>
      </w:pPr>
      <w:r>
        <w:rPr>
          <w:rFonts w:ascii="Arial" w:eastAsia="Gill Sans MT" w:hAnsi="Arial" w:cs="Arial"/>
        </w:rPr>
        <w:t>Le</w:t>
      </w:r>
      <w:r w:rsidRPr="00D211DD">
        <w:rPr>
          <w:rFonts w:ascii="Arial" w:eastAsia="Gill Sans MT" w:hAnsi="Arial" w:cs="Arial"/>
        </w:rPr>
        <w:t xml:space="preserve"> groupe d’âge de 45 à 64 ans est le plus nombreux,  il comprend donc 2 360,7 individus. Ensuite, il est question du groupe d’âge de 25 à 44 ans, 2 195,9 personnes. En troisième et quatrième rang, il s’agit respectivement des 75 ans et plus (621) et des 65 à 74 ans (831,5). Ces chiffres permettent de mettre en relation qu’il y a davantage d’individus dans la tranche d’âge de 65 ans et plus (1 452,5) qu’entre 0 à 19 ans (1 279). La population est donc vieillissante et le nombre de naissance a diminué au cours des dernières années, ce qui explique l’inversion de la pyramide des âges. </w:t>
      </w:r>
    </w:p>
    <w:p w:rsidR="00D211DD" w:rsidRDefault="00D211DD" w:rsidP="00D211DD">
      <w:pPr>
        <w:spacing w:line="360" w:lineRule="auto"/>
        <w:contextualSpacing/>
        <w:jc w:val="both"/>
        <w:rPr>
          <w:rFonts w:ascii="Arial" w:eastAsia="Gill Sans MT" w:hAnsi="Arial" w:cs="Arial"/>
        </w:rPr>
      </w:pPr>
    </w:p>
    <w:p w:rsidR="00A868CC" w:rsidRPr="00D211DD" w:rsidRDefault="00A868CC" w:rsidP="00D211DD">
      <w:pPr>
        <w:spacing w:line="360" w:lineRule="auto"/>
        <w:contextualSpacing/>
        <w:jc w:val="both"/>
        <w:rPr>
          <w:rFonts w:ascii="Arial" w:eastAsia="Gill Sans MT" w:hAnsi="Arial" w:cs="Arial"/>
        </w:rPr>
      </w:pPr>
    </w:p>
    <w:p w:rsidR="00D211DD" w:rsidRPr="00D211DD" w:rsidRDefault="00D211DD" w:rsidP="00D211DD">
      <w:pPr>
        <w:contextualSpacing/>
        <w:jc w:val="center"/>
        <w:rPr>
          <w:rFonts w:ascii="Arial" w:eastAsia="Gill Sans MT" w:hAnsi="Arial" w:cs="Arial"/>
          <w:b/>
        </w:rPr>
      </w:pPr>
      <w:r w:rsidRPr="00D211DD">
        <w:rPr>
          <w:rFonts w:ascii="Arial" w:eastAsia="Gill Sans MT" w:hAnsi="Arial" w:cs="Arial"/>
          <w:b/>
          <w:noProof/>
          <w:lang w:val="en-CA" w:eastAsia="en-CA"/>
        </w:rPr>
        <w:drawing>
          <wp:inline distT="0" distB="0" distL="0" distR="0" wp14:anchorId="55CB58AB" wp14:editId="3EF64565">
            <wp:extent cx="3204293" cy="3912235"/>
            <wp:effectExtent l="0" t="0" r="0" b="0"/>
            <wp:docPr id="16" name="Image 240" descr="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0" descr="popul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10985" cy="3920406"/>
                    </a:xfrm>
                    <a:prstGeom prst="rect">
                      <a:avLst/>
                    </a:prstGeom>
                    <a:noFill/>
                    <a:ln>
                      <a:noFill/>
                    </a:ln>
                  </pic:spPr>
                </pic:pic>
              </a:graphicData>
            </a:graphic>
          </wp:inline>
        </w:drawing>
      </w:r>
    </w:p>
    <w:p w:rsidR="00407F81" w:rsidRPr="00D211DD" w:rsidRDefault="00407F81" w:rsidP="00D211DD">
      <w:pPr>
        <w:spacing w:line="360" w:lineRule="auto"/>
        <w:contextualSpacing/>
        <w:jc w:val="both"/>
        <w:rPr>
          <w:rFonts w:ascii="Arial" w:eastAsia="Gill Sans MT" w:hAnsi="Arial" w:cs="Arial"/>
          <w:b/>
        </w:rPr>
      </w:pPr>
    </w:p>
    <w:p w:rsidR="00D211DD" w:rsidRPr="00D211DD" w:rsidRDefault="00D211DD" w:rsidP="00D211DD">
      <w:pPr>
        <w:spacing w:line="360" w:lineRule="auto"/>
        <w:contextualSpacing/>
        <w:jc w:val="both"/>
        <w:rPr>
          <w:rFonts w:ascii="Arial" w:eastAsia="Gill Sans MT" w:hAnsi="Arial" w:cs="Arial"/>
          <w:b/>
        </w:rPr>
      </w:pPr>
    </w:p>
    <w:p w:rsidR="00D211DD" w:rsidRPr="00D211DD" w:rsidRDefault="00D211DD" w:rsidP="00D211DD">
      <w:pPr>
        <w:spacing w:line="254" w:lineRule="auto"/>
        <w:ind w:left="720" w:hanging="720"/>
        <w:contextualSpacing/>
        <w:jc w:val="both"/>
        <w:rPr>
          <w:rFonts w:ascii="Segoe UI" w:eastAsia="Calibri" w:hAnsi="Segoe UI" w:cs="Segoe UI"/>
          <w:sz w:val="16"/>
          <w:szCs w:val="20"/>
        </w:rPr>
      </w:pPr>
      <w:r w:rsidRPr="00D211DD">
        <w:rPr>
          <w:rFonts w:ascii="Segoe UI" w:eastAsia="Calibri" w:hAnsi="Segoe UI" w:cs="Segoe UI"/>
          <w:sz w:val="16"/>
          <w:szCs w:val="20"/>
        </w:rPr>
        <w:t xml:space="preserve">Institut de la statistique du Québec. (2016). </w:t>
      </w:r>
      <w:r w:rsidRPr="00D211DD">
        <w:rPr>
          <w:rFonts w:ascii="Segoe UI" w:eastAsia="Calibri" w:hAnsi="Segoe UI" w:cs="Segoe UI"/>
          <w:i/>
          <w:sz w:val="16"/>
          <w:szCs w:val="20"/>
        </w:rPr>
        <w:t xml:space="preserve">Le Québec chiffres en main. </w:t>
      </w:r>
      <w:r w:rsidRPr="00D211DD">
        <w:rPr>
          <w:rFonts w:ascii="Segoe UI" w:eastAsia="Calibri" w:hAnsi="Segoe UI" w:cs="Segoe UI"/>
          <w:sz w:val="16"/>
          <w:szCs w:val="20"/>
        </w:rPr>
        <w:t>Gouvernement du Québec. ISBN 978-2-550-75310</w:t>
      </w:r>
    </w:p>
    <w:p w:rsidR="00D211DD" w:rsidRPr="00D211DD" w:rsidRDefault="00D211DD" w:rsidP="00D211DD">
      <w:pPr>
        <w:spacing w:line="254" w:lineRule="auto"/>
        <w:ind w:left="720" w:hanging="720"/>
        <w:contextualSpacing/>
        <w:jc w:val="both"/>
        <w:rPr>
          <w:rFonts w:ascii="Segoe UI" w:eastAsia="Calibri" w:hAnsi="Segoe UI" w:cs="Segoe UI"/>
          <w:sz w:val="16"/>
          <w:szCs w:val="20"/>
        </w:rPr>
      </w:pPr>
      <w:r w:rsidRPr="00D211DD">
        <w:rPr>
          <w:rFonts w:ascii="Segoe UI" w:eastAsia="Calibri" w:hAnsi="Segoe UI" w:cs="Segoe UI"/>
          <w:sz w:val="16"/>
          <w:szCs w:val="20"/>
        </w:rPr>
        <w:t>0 (PDF).</w:t>
      </w:r>
    </w:p>
    <w:tbl>
      <w:tblPr>
        <w:tblStyle w:val="Grilledutableau"/>
        <w:tblW w:w="0" w:type="auto"/>
        <w:tblInd w:w="0" w:type="dxa"/>
        <w:tblLook w:val="04A0" w:firstRow="1" w:lastRow="0" w:firstColumn="1" w:lastColumn="0" w:noHBand="0" w:noVBand="1"/>
      </w:tblPr>
      <w:tblGrid>
        <w:gridCol w:w="8630"/>
      </w:tblGrid>
      <w:tr w:rsidR="00A868CC" w:rsidTr="00A868CC">
        <w:tc>
          <w:tcPr>
            <w:tcW w:w="8630" w:type="dxa"/>
            <w:shd w:val="clear" w:color="auto" w:fill="000000" w:themeFill="text1"/>
          </w:tcPr>
          <w:p w:rsidR="00A868CC" w:rsidRDefault="00A868CC" w:rsidP="00D211DD">
            <w:pPr>
              <w:jc w:val="center"/>
              <w:rPr>
                <w:rFonts w:ascii="Arial" w:hAnsi="Arial" w:cs="Arial"/>
              </w:rPr>
            </w:pPr>
          </w:p>
          <w:p w:rsidR="00A868CC" w:rsidRDefault="00A868CC" w:rsidP="00A868CC">
            <w:pPr>
              <w:jc w:val="center"/>
              <w:rPr>
                <w:rFonts w:ascii="Arial" w:hAnsi="Arial" w:cs="Arial"/>
                <w:b/>
                <w:color w:val="FFFFFF" w:themeColor="background1"/>
                <w:sz w:val="28"/>
              </w:rPr>
            </w:pPr>
            <w:r>
              <w:rPr>
                <w:rFonts w:ascii="Arial" w:hAnsi="Arial" w:cs="Arial"/>
                <w:b/>
                <w:color w:val="FFFFFF" w:themeColor="background1"/>
                <w:sz w:val="28"/>
              </w:rPr>
              <w:t>3.3 Comparaison des groupes d’âge, selon le sexe</w:t>
            </w:r>
          </w:p>
          <w:p w:rsidR="00A868CC" w:rsidRDefault="00A868CC" w:rsidP="00A868CC">
            <w:pPr>
              <w:jc w:val="center"/>
              <w:rPr>
                <w:rFonts w:ascii="Arial" w:hAnsi="Arial" w:cs="Arial"/>
                <w:b/>
                <w:color w:val="FFFFFF" w:themeColor="background1"/>
                <w:sz w:val="28"/>
              </w:rPr>
            </w:pPr>
            <w:r>
              <w:rPr>
                <w:rFonts w:ascii="Arial" w:hAnsi="Arial" w:cs="Arial"/>
                <w:b/>
                <w:color w:val="FFFFFF" w:themeColor="background1"/>
                <w:sz w:val="28"/>
              </w:rPr>
              <w:t xml:space="preserve"> 50 à 100 ans et plus</w:t>
            </w:r>
          </w:p>
          <w:p w:rsidR="00D659AE" w:rsidRPr="00A868CC" w:rsidRDefault="00D659AE" w:rsidP="00A868CC">
            <w:pPr>
              <w:jc w:val="center"/>
              <w:rPr>
                <w:rFonts w:ascii="Arial" w:hAnsi="Arial" w:cs="Arial"/>
                <w:b/>
                <w:color w:val="FFFFFF" w:themeColor="background1"/>
                <w:sz w:val="28"/>
              </w:rPr>
            </w:pPr>
          </w:p>
        </w:tc>
      </w:tr>
    </w:tbl>
    <w:p w:rsidR="00094DD3" w:rsidRDefault="00094DD3" w:rsidP="00D211DD">
      <w:pPr>
        <w:jc w:val="center"/>
        <w:rPr>
          <w:rFonts w:ascii="Arial" w:hAnsi="Arial" w:cs="Arial"/>
        </w:rPr>
      </w:pPr>
    </w:p>
    <w:p w:rsidR="00094DD3" w:rsidRDefault="00094DD3" w:rsidP="00D211DD">
      <w:pPr>
        <w:jc w:val="center"/>
        <w:rPr>
          <w:rFonts w:ascii="Arial" w:hAnsi="Arial" w:cs="Arial"/>
        </w:rPr>
      </w:pPr>
    </w:p>
    <w:p w:rsidR="00094DD3" w:rsidRPr="00094DD3" w:rsidRDefault="00094DD3" w:rsidP="00094DD3">
      <w:pPr>
        <w:tabs>
          <w:tab w:val="left" w:pos="90"/>
          <w:tab w:val="left" w:pos="1440"/>
        </w:tabs>
        <w:spacing w:after="0" w:line="360" w:lineRule="auto"/>
        <w:contextualSpacing/>
        <w:jc w:val="both"/>
        <w:rPr>
          <w:rFonts w:ascii="Arial" w:eastAsia="Calibri" w:hAnsi="Arial" w:cs="Arial"/>
          <w:szCs w:val="16"/>
        </w:rPr>
      </w:pPr>
      <w:r w:rsidRPr="00094DD3">
        <w:rPr>
          <w:rFonts w:ascii="Arial" w:eastAsia="Calibri" w:hAnsi="Arial" w:cs="Arial"/>
          <w:szCs w:val="16"/>
        </w:rPr>
        <w:t xml:space="preserve">Selon toutes les catégories d’âge présentées, les femmes sont plus nombreuses que les hommes au Québec en 2011. </w:t>
      </w:r>
      <w:r>
        <w:rPr>
          <w:rFonts w:ascii="Arial" w:eastAsia="Calibri" w:hAnsi="Arial" w:cs="Arial"/>
          <w:szCs w:val="16"/>
        </w:rPr>
        <w:t>Ces données sont particulièrement intéressantes, car elles permettent de comparer les groupes d’âge entre eux</w:t>
      </w:r>
      <w:r w:rsidR="00407F81">
        <w:rPr>
          <w:rFonts w:ascii="Arial" w:eastAsia="Calibri" w:hAnsi="Arial" w:cs="Arial"/>
          <w:szCs w:val="16"/>
        </w:rPr>
        <w:t xml:space="preserve"> selon le nombre de femmes et d’hommes</w:t>
      </w:r>
      <w:r>
        <w:rPr>
          <w:rFonts w:ascii="Arial" w:eastAsia="Calibri" w:hAnsi="Arial" w:cs="Arial"/>
          <w:szCs w:val="16"/>
        </w:rPr>
        <w:t xml:space="preserve">. </w:t>
      </w:r>
      <w:r w:rsidR="003E18BB">
        <w:rPr>
          <w:rFonts w:ascii="Arial" w:eastAsia="Calibri" w:hAnsi="Arial" w:cs="Arial"/>
          <w:szCs w:val="16"/>
        </w:rPr>
        <w:t xml:space="preserve">Par exemple, dans la catégorie d’âge de 100 ans et plus, il y a presque cinq fois plus de femmes que d’hommes au Québec. </w:t>
      </w:r>
    </w:p>
    <w:p w:rsidR="00094DD3" w:rsidRDefault="00094DD3" w:rsidP="00094DD3">
      <w:pPr>
        <w:tabs>
          <w:tab w:val="left" w:pos="720"/>
          <w:tab w:val="left" w:pos="1440"/>
        </w:tabs>
        <w:spacing w:after="0"/>
        <w:ind w:left="720" w:hanging="720"/>
        <w:contextualSpacing/>
        <w:jc w:val="both"/>
        <w:rPr>
          <w:rFonts w:ascii="Calibri" w:eastAsia="Calibri" w:hAnsi="Calibri" w:cs="Times New Roman"/>
          <w:color w:val="0563C1"/>
          <w:sz w:val="16"/>
          <w:szCs w:val="16"/>
          <w:u w:val="single"/>
        </w:rPr>
      </w:pPr>
    </w:p>
    <w:p w:rsidR="003E18BB" w:rsidRPr="00094DD3" w:rsidRDefault="003E18BB" w:rsidP="00094DD3">
      <w:pPr>
        <w:tabs>
          <w:tab w:val="left" w:pos="720"/>
          <w:tab w:val="left" w:pos="1440"/>
        </w:tabs>
        <w:spacing w:after="0"/>
        <w:ind w:left="720" w:hanging="720"/>
        <w:contextualSpacing/>
        <w:jc w:val="both"/>
        <w:rPr>
          <w:rFonts w:ascii="Calibri" w:eastAsia="Calibri" w:hAnsi="Calibri" w:cs="Times New Roman"/>
          <w:color w:val="0563C1"/>
          <w:sz w:val="16"/>
          <w:szCs w:val="16"/>
          <w:u w:val="single"/>
        </w:rPr>
      </w:pPr>
    </w:p>
    <w:p w:rsidR="00094DD3" w:rsidRPr="00094DD3" w:rsidRDefault="00094DD3" w:rsidP="00094DD3">
      <w:pPr>
        <w:tabs>
          <w:tab w:val="left" w:pos="720"/>
          <w:tab w:val="left" w:pos="1440"/>
        </w:tabs>
        <w:spacing w:after="0"/>
        <w:ind w:left="720" w:hanging="1620"/>
        <w:contextualSpacing/>
        <w:jc w:val="both"/>
        <w:rPr>
          <w:rFonts w:ascii="Calibri" w:eastAsia="Calibri" w:hAnsi="Calibri" w:cs="Times New Roman"/>
          <w:color w:val="0563C1"/>
          <w:sz w:val="16"/>
          <w:szCs w:val="16"/>
          <w:u w:val="single"/>
        </w:rPr>
      </w:pPr>
      <w:r w:rsidRPr="00094DD3">
        <w:rPr>
          <w:rFonts w:ascii="Calibri" w:eastAsia="Calibri" w:hAnsi="Calibri" w:cs="Times New Roman"/>
          <w:noProof/>
          <w:color w:val="0563C1"/>
          <w:sz w:val="16"/>
          <w:szCs w:val="16"/>
          <w:u w:val="single"/>
          <w:lang w:val="en-CA" w:eastAsia="en-CA"/>
        </w:rPr>
        <w:drawing>
          <wp:inline distT="0" distB="0" distL="0" distR="0" wp14:anchorId="4EF2BD05" wp14:editId="514A4893">
            <wp:extent cx="6607175" cy="4659465"/>
            <wp:effectExtent l="0" t="0" r="3175" b="825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4DD3" w:rsidRPr="00094DD3" w:rsidRDefault="00094DD3" w:rsidP="00094DD3">
      <w:pPr>
        <w:tabs>
          <w:tab w:val="left" w:pos="720"/>
          <w:tab w:val="left" w:pos="1440"/>
        </w:tabs>
        <w:spacing w:after="0"/>
        <w:ind w:left="720" w:hanging="720"/>
        <w:contextualSpacing/>
        <w:jc w:val="both"/>
        <w:rPr>
          <w:rFonts w:ascii="Calibri" w:eastAsia="Calibri" w:hAnsi="Calibri" w:cs="Times New Roman"/>
          <w:color w:val="0563C1"/>
          <w:sz w:val="16"/>
          <w:szCs w:val="16"/>
          <w:u w:val="single"/>
        </w:rPr>
      </w:pPr>
    </w:p>
    <w:p w:rsidR="00D211DD" w:rsidRPr="00094DD3" w:rsidRDefault="00094DD3" w:rsidP="00094DD3">
      <w:pPr>
        <w:contextualSpacing/>
        <w:jc w:val="both"/>
        <w:rPr>
          <w:rFonts w:ascii="Segoe UI" w:eastAsia="Calibri" w:hAnsi="Segoe UI" w:cs="Segoe UI"/>
          <w:sz w:val="16"/>
          <w:szCs w:val="20"/>
          <w:shd w:val="clear" w:color="auto" w:fill="FFFFFF"/>
        </w:rPr>
      </w:pPr>
      <w:r w:rsidRPr="00094DD3">
        <w:rPr>
          <w:rFonts w:ascii="Segoe UI" w:eastAsia="Calibri" w:hAnsi="Segoe UI" w:cs="Segoe UI"/>
          <w:sz w:val="16"/>
          <w:szCs w:val="20"/>
          <w:shd w:val="clear" w:color="auto" w:fill="FFFFFF"/>
        </w:rPr>
        <w:t xml:space="preserve">Michaud, A., &amp; Francoeur., M-C. (2012). </w:t>
      </w:r>
      <w:r w:rsidRPr="00094DD3">
        <w:rPr>
          <w:rFonts w:ascii="Segoe UI" w:eastAsia="Calibri" w:hAnsi="Segoe UI" w:cs="Segoe UI"/>
          <w:i/>
          <w:sz w:val="16"/>
          <w:szCs w:val="20"/>
          <w:shd w:val="clear" w:color="auto" w:fill="FFFFFF"/>
        </w:rPr>
        <w:t xml:space="preserve">Les aînés du Québec : quelques données récentes. </w:t>
      </w:r>
      <w:r w:rsidRPr="00094DD3">
        <w:rPr>
          <w:rFonts w:ascii="Segoe UI" w:eastAsia="Calibri" w:hAnsi="Segoe UI" w:cs="Segoe UI"/>
          <w:sz w:val="16"/>
          <w:szCs w:val="20"/>
          <w:shd w:val="clear" w:color="auto" w:fill="FFFFFF"/>
        </w:rPr>
        <w:t xml:space="preserve"> </w:t>
      </w:r>
      <w:r w:rsidRPr="00094DD3">
        <w:rPr>
          <w:rFonts w:ascii="Segoe UI" w:eastAsia="Calibri" w:hAnsi="Segoe UI" w:cs="Segoe UI"/>
          <w:sz w:val="16"/>
          <w:szCs w:val="20"/>
          <w:shd w:val="clear" w:color="auto" w:fill="FFFFFF"/>
        </w:rPr>
        <w:tab/>
        <w:t xml:space="preserve">Direction de la recherche, de l’évaluation et de la statistique du ministère de la Famille et </w:t>
      </w:r>
      <w:r w:rsidRPr="00094DD3">
        <w:rPr>
          <w:rFonts w:ascii="Segoe UI" w:eastAsia="Calibri" w:hAnsi="Segoe UI" w:cs="Segoe UI"/>
          <w:sz w:val="16"/>
          <w:szCs w:val="20"/>
          <w:shd w:val="clear" w:color="auto" w:fill="FFFFFF"/>
        </w:rPr>
        <w:tab/>
        <w:t>des Aînés. Gouvernement du Québec. ISBN 978-2-550-65001-0 (PDF).</w:t>
      </w:r>
    </w:p>
    <w:tbl>
      <w:tblPr>
        <w:tblStyle w:val="Grilledutableau"/>
        <w:tblW w:w="0" w:type="auto"/>
        <w:tblInd w:w="90" w:type="dxa"/>
        <w:tblLook w:val="04A0" w:firstRow="1" w:lastRow="0" w:firstColumn="1" w:lastColumn="0" w:noHBand="0" w:noVBand="1"/>
      </w:tblPr>
      <w:tblGrid>
        <w:gridCol w:w="8540"/>
      </w:tblGrid>
      <w:tr w:rsidR="00A868CC" w:rsidTr="00A868CC">
        <w:tc>
          <w:tcPr>
            <w:tcW w:w="8630" w:type="dxa"/>
            <w:shd w:val="clear" w:color="auto" w:fill="000000" w:themeFill="text1"/>
          </w:tcPr>
          <w:p w:rsidR="00A868CC" w:rsidRDefault="00A868CC" w:rsidP="00A868CC">
            <w:pPr>
              <w:spacing w:line="240" w:lineRule="auto"/>
              <w:contextualSpacing/>
              <w:jc w:val="center"/>
              <w:rPr>
                <w:rFonts w:ascii="Arial" w:eastAsia="Gill Sans MT" w:hAnsi="Arial" w:cs="Arial"/>
                <w:b/>
                <w:color w:val="FFFFFF" w:themeColor="background1"/>
                <w:sz w:val="28"/>
              </w:rPr>
            </w:pPr>
          </w:p>
          <w:p w:rsidR="00A868CC" w:rsidRDefault="00A868CC" w:rsidP="00A868CC">
            <w:pPr>
              <w:spacing w:line="240" w:lineRule="auto"/>
              <w:contextualSpacing/>
              <w:jc w:val="center"/>
              <w:rPr>
                <w:rFonts w:ascii="Arial" w:eastAsia="Gill Sans MT" w:hAnsi="Arial" w:cs="Arial"/>
                <w:b/>
                <w:color w:val="FFFFFF" w:themeColor="background1"/>
                <w:sz w:val="28"/>
              </w:rPr>
            </w:pPr>
            <w:r>
              <w:rPr>
                <w:rFonts w:ascii="Arial" w:eastAsia="Gill Sans MT" w:hAnsi="Arial" w:cs="Arial"/>
                <w:b/>
                <w:color w:val="FFFFFF" w:themeColor="background1"/>
                <w:sz w:val="28"/>
              </w:rPr>
              <w:t>3.4 Évolution de la démographie entre 2001 et 2015</w:t>
            </w:r>
          </w:p>
          <w:p w:rsidR="00A868CC" w:rsidRPr="00A868CC" w:rsidRDefault="00A868CC" w:rsidP="00A868CC">
            <w:pPr>
              <w:spacing w:line="360" w:lineRule="auto"/>
              <w:contextualSpacing/>
              <w:jc w:val="center"/>
              <w:rPr>
                <w:rFonts w:ascii="Arial" w:eastAsia="Gill Sans MT" w:hAnsi="Arial" w:cs="Arial"/>
                <w:b/>
                <w:color w:val="FFFFFF" w:themeColor="background1"/>
                <w:sz w:val="28"/>
              </w:rPr>
            </w:pPr>
          </w:p>
        </w:tc>
      </w:tr>
    </w:tbl>
    <w:p w:rsidR="00A868CC" w:rsidRDefault="00A868CC" w:rsidP="002328FC">
      <w:pPr>
        <w:spacing w:line="360" w:lineRule="auto"/>
        <w:ind w:left="90"/>
        <w:contextualSpacing/>
        <w:jc w:val="both"/>
        <w:rPr>
          <w:rFonts w:ascii="Arial" w:eastAsia="Gill Sans MT" w:hAnsi="Arial" w:cs="Arial"/>
        </w:rPr>
      </w:pPr>
    </w:p>
    <w:p w:rsidR="00A868CC" w:rsidRDefault="00A868CC" w:rsidP="002328FC">
      <w:pPr>
        <w:spacing w:line="360" w:lineRule="auto"/>
        <w:ind w:left="90"/>
        <w:contextualSpacing/>
        <w:jc w:val="both"/>
        <w:rPr>
          <w:rFonts w:ascii="Arial" w:eastAsia="Gill Sans MT" w:hAnsi="Arial" w:cs="Arial"/>
        </w:rPr>
      </w:pPr>
    </w:p>
    <w:p w:rsidR="002328FC" w:rsidRDefault="002328FC" w:rsidP="002328FC">
      <w:pPr>
        <w:spacing w:line="360" w:lineRule="auto"/>
        <w:ind w:left="90"/>
        <w:contextualSpacing/>
        <w:jc w:val="both"/>
        <w:rPr>
          <w:rFonts w:ascii="Arial" w:eastAsia="Gill Sans MT" w:hAnsi="Arial" w:cs="Arial"/>
        </w:rPr>
      </w:pPr>
      <w:r>
        <w:rPr>
          <w:rFonts w:ascii="Arial" w:eastAsia="Gill Sans MT" w:hAnsi="Arial" w:cs="Arial"/>
        </w:rPr>
        <w:t xml:space="preserve">Les résultats ci-dessous permettent de visualiser l’évolution du nombre de femmes et d’hommes en fonction des groupes d’âge. De 65 à 74 ans et 75 ans et plus, il y a plus d’individus de sexe féminin que masculin. De plus, le nombre d’aînés des deux sexes est en augmentation entre 2011 et 2015. </w:t>
      </w:r>
    </w:p>
    <w:p w:rsidR="002328FC" w:rsidRDefault="002328FC" w:rsidP="00D211DD">
      <w:pPr>
        <w:ind w:left="90"/>
        <w:contextualSpacing/>
        <w:jc w:val="both"/>
        <w:rPr>
          <w:rFonts w:ascii="Arial" w:eastAsia="Gill Sans MT" w:hAnsi="Arial" w:cs="Arial"/>
        </w:rPr>
      </w:pPr>
    </w:p>
    <w:p w:rsidR="00A868CC" w:rsidRDefault="00A868CC" w:rsidP="00D211DD">
      <w:pPr>
        <w:ind w:left="90"/>
        <w:contextualSpacing/>
        <w:jc w:val="both"/>
        <w:rPr>
          <w:rFonts w:ascii="Arial" w:eastAsia="Gill Sans MT" w:hAnsi="Arial" w:cs="Arial"/>
          <w:b/>
        </w:rPr>
      </w:pPr>
    </w:p>
    <w:p w:rsidR="00D211DD" w:rsidRDefault="00D211DD" w:rsidP="00D211DD">
      <w:pPr>
        <w:ind w:left="90"/>
        <w:contextualSpacing/>
        <w:jc w:val="both"/>
        <w:rPr>
          <w:rFonts w:ascii="Arial" w:eastAsia="Gill Sans MT" w:hAnsi="Arial" w:cs="Arial"/>
          <w:b/>
        </w:rPr>
      </w:pPr>
      <w:r w:rsidRPr="00D211DD">
        <w:rPr>
          <w:rFonts w:ascii="Arial" w:eastAsia="Gill Sans MT" w:hAnsi="Arial" w:cs="Arial"/>
          <w:b/>
        </w:rPr>
        <w:t>Nombre d’individus selon l’âge et le sexe au Québec</w:t>
      </w:r>
    </w:p>
    <w:p w:rsidR="00D211DD" w:rsidRPr="00D211DD" w:rsidRDefault="00D211DD" w:rsidP="00D211DD">
      <w:pPr>
        <w:ind w:left="720"/>
        <w:contextualSpacing/>
        <w:jc w:val="center"/>
        <w:rPr>
          <w:rFonts w:ascii="Arial" w:eastAsia="Gill Sans MT" w:hAnsi="Arial" w:cs="Arial"/>
          <w:b/>
        </w:rPr>
      </w:pPr>
    </w:p>
    <w:p w:rsidR="00D211DD" w:rsidRPr="00D211DD" w:rsidRDefault="00D211DD" w:rsidP="00A868CC">
      <w:pPr>
        <w:ind w:right="-900" w:hanging="900"/>
        <w:contextualSpacing/>
        <w:jc w:val="center"/>
        <w:rPr>
          <w:rFonts w:ascii="Arial" w:eastAsia="Gill Sans MT" w:hAnsi="Arial" w:cs="Arial"/>
          <w:b/>
        </w:rPr>
      </w:pPr>
      <w:r w:rsidRPr="00D211DD">
        <w:rPr>
          <w:rFonts w:ascii="Arial" w:eastAsia="Gill Sans MT" w:hAnsi="Arial" w:cs="Arial"/>
          <w:b/>
          <w:noProof/>
          <w:lang w:val="en-CA" w:eastAsia="en-CA"/>
        </w:rPr>
        <w:drawing>
          <wp:inline distT="0" distB="0" distL="0" distR="0" wp14:anchorId="05635620" wp14:editId="5EE5E728">
            <wp:extent cx="6615485" cy="5056038"/>
            <wp:effectExtent l="0" t="0" r="0" b="0"/>
            <wp:docPr id="17" name="Image 98" descr="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 descr="q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1691" cy="5076067"/>
                    </a:xfrm>
                    <a:prstGeom prst="rect">
                      <a:avLst/>
                    </a:prstGeom>
                    <a:noFill/>
                    <a:ln>
                      <a:noFill/>
                    </a:ln>
                  </pic:spPr>
                </pic:pic>
              </a:graphicData>
            </a:graphic>
          </wp:inline>
        </w:drawing>
      </w:r>
    </w:p>
    <w:p w:rsidR="00D211DD" w:rsidRDefault="00D211DD" w:rsidP="00D211DD">
      <w:pPr>
        <w:tabs>
          <w:tab w:val="left" w:pos="720"/>
        </w:tabs>
        <w:ind w:left="720" w:hanging="720"/>
        <w:contextualSpacing/>
        <w:jc w:val="both"/>
        <w:rPr>
          <w:rFonts w:ascii="Segoe UI" w:eastAsia="Gill Sans MT" w:hAnsi="Segoe UI" w:cs="Segoe UI"/>
          <w:sz w:val="16"/>
        </w:rPr>
      </w:pPr>
    </w:p>
    <w:p w:rsidR="00BD7A2E" w:rsidRPr="00D211DD" w:rsidRDefault="00D211DD" w:rsidP="00D211DD">
      <w:pPr>
        <w:tabs>
          <w:tab w:val="left" w:pos="720"/>
        </w:tabs>
        <w:ind w:left="720" w:hanging="720"/>
        <w:contextualSpacing/>
        <w:jc w:val="both"/>
        <w:rPr>
          <w:rFonts w:ascii="Segoe UI" w:eastAsia="Gill Sans MT" w:hAnsi="Segoe UI" w:cs="Segoe UI"/>
          <w:sz w:val="16"/>
        </w:rPr>
      </w:pPr>
      <w:r w:rsidRPr="00D211DD">
        <w:rPr>
          <w:rFonts w:ascii="Segoe UI" w:eastAsia="Gill Sans MT" w:hAnsi="Segoe UI" w:cs="Segoe UI"/>
          <w:sz w:val="16"/>
        </w:rPr>
        <w:t>Instit</w:t>
      </w:r>
      <w:r w:rsidR="00BD7A2E">
        <w:rPr>
          <w:rFonts w:ascii="Segoe UI" w:eastAsia="Gill Sans MT" w:hAnsi="Segoe UI" w:cs="Segoe UI"/>
          <w:sz w:val="16"/>
        </w:rPr>
        <w:t>ut de la statistique du Québec.</w:t>
      </w:r>
    </w:p>
    <w:tbl>
      <w:tblPr>
        <w:tblStyle w:val="Grilledutableau"/>
        <w:tblW w:w="0" w:type="auto"/>
        <w:tblInd w:w="0" w:type="dxa"/>
        <w:tblLook w:val="04A0" w:firstRow="1" w:lastRow="0" w:firstColumn="1" w:lastColumn="0" w:noHBand="0" w:noVBand="1"/>
      </w:tblPr>
      <w:tblGrid>
        <w:gridCol w:w="8630"/>
      </w:tblGrid>
      <w:tr w:rsidR="00BD7A2E" w:rsidTr="00BD7A2E">
        <w:tc>
          <w:tcPr>
            <w:tcW w:w="8630" w:type="dxa"/>
            <w:shd w:val="clear" w:color="auto" w:fill="000000" w:themeFill="text1"/>
          </w:tcPr>
          <w:p w:rsidR="00BD7A2E" w:rsidRDefault="00BD7A2E" w:rsidP="00BD7A2E">
            <w:pPr>
              <w:tabs>
                <w:tab w:val="left" w:pos="4934"/>
              </w:tabs>
              <w:spacing w:line="240" w:lineRule="auto"/>
              <w:jc w:val="center"/>
              <w:rPr>
                <w:rFonts w:ascii="Arial" w:hAnsi="Arial" w:cs="Arial"/>
                <w:b/>
                <w:color w:val="FFFFFF" w:themeColor="background1"/>
                <w:sz w:val="28"/>
              </w:rPr>
            </w:pPr>
          </w:p>
          <w:p w:rsidR="00BD7A2E" w:rsidRDefault="00D659AE" w:rsidP="00BD7A2E">
            <w:pPr>
              <w:tabs>
                <w:tab w:val="left" w:pos="4934"/>
              </w:tabs>
              <w:spacing w:line="240" w:lineRule="auto"/>
              <w:jc w:val="center"/>
              <w:rPr>
                <w:rFonts w:ascii="Arial" w:hAnsi="Arial" w:cs="Arial"/>
                <w:b/>
                <w:color w:val="FFFFFF" w:themeColor="background1"/>
                <w:sz w:val="28"/>
              </w:rPr>
            </w:pPr>
            <w:r>
              <w:rPr>
                <w:rFonts w:ascii="Arial" w:hAnsi="Arial" w:cs="Arial"/>
                <w:b/>
                <w:color w:val="FFFFFF" w:themeColor="background1"/>
                <w:sz w:val="28"/>
              </w:rPr>
              <w:t>3.5 Projections démographiques (</w:t>
            </w:r>
            <w:r w:rsidR="00BD7A2E">
              <w:rPr>
                <w:rFonts w:ascii="Arial" w:hAnsi="Arial" w:cs="Arial"/>
                <w:b/>
                <w:color w:val="FFFFFF" w:themeColor="background1"/>
                <w:sz w:val="28"/>
              </w:rPr>
              <w:t>2016 à 2061</w:t>
            </w:r>
            <w:r>
              <w:rPr>
                <w:rFonts w:ascii="Arial" w:hAnsi="Arial" w:cs="Arial"/>
                <w:b/>
                <w:color w:val="FFFFFF" w:themeColor="background1"/>
                <w:sz w:val="28"/>
              </w:rPr>
              <w:t>)</w:t>
            </w:r>
          </w:p>
          <w:p w:rsidR="00BD7A2E" w:rsidRPr="00BD7A2E" w:rsidRDefault="00BD7A2E" w:rsidP="00BD7A2E">
            <w:pPr>
              <w:tabs>
                <w:tab w:val="left" w:pos="4934"/>
              </w:tabs>
              <w:jc w:val="center"/>
              <w:rPr>
                <w:rFonts w:ascii="Arial" w:hAnsi="Arial" w:cs="Arial"/>
                <w:b/>
                <w:color w:val="FFFFFF" w:themeColor="background1"/>
                <w:sz w:val="28"/>
              </w:rPr>
            </w:pPr>
          </w:p>
        </w:tc>
      </w:tr>
    </w:tbl>
    <w:p w:rsidR="00394430" w:rsidRDefault="00394430" w:rsidP="00BD42FB">
      <w:pPr>
        <w:tabs>
          <w:tab w:val="left" w:pos="4934"/>
        </w:tabs>
        <w:rPr>
          <w:rFonts w:ascii="Arial" w:hAnsi="Arial" w:cs="Arial"/>
        </w:rPr>
      </w:pPr>
    </w:p>
    <w:p w:rsidR="00963BF5" w:rsidRDefault="00963BF5" w:rsidP="00963BF5">
      <w:pPr>
        <w:pStyle w:val="Paragraphedeliste"/>
        <w:spacing w:line="360" w:lineRule="auto"/>
        <w:ind w:left="0"/>
        <w:jc w:val="both"/>
        <w:rPr>
          <w:rFonts w:ascii="Arial" w:hAnsi="Arial" w:cs="Arial"/>
        </w:rPr>
      </w:pPr>
      <w:r>
        <w:rPr>
          <w:rFonts w:ascii="Arial" w:hAnsi="Arial" w:cs="Arial"/>
        </w:rPr>
        <w:t>En fonction des projections, les individus âgés de 65 ans et plus augmenteraient entre 2016 et 2061, jusqu’à attendre une proportion plus élevée de 10,5% entre ces années.</w:t>
      </w:r>
      <w:r w:rsidR="00407F81">
        <w:rPr>
          <w:rFonts w:ascii="Arial" w:hAnsi="Arial" w:cs="Arial"/>
        </w:rPr>
        <w:t xml:space="preserve"> Il est à spécifier que selon les groupes d’âges, le nombre d’individus n’est pas seulement croissant, c’est-à-dire que parfois, le nombre diminue selon l’année. Par exemple, </w:t>
      </w:r>
      <w:r w:rsidR="00AB4257">
        <w:rPr>
          <w:rFonts w:ascii="Arial" w:hAnsi="Arial" w:cs="Arial"/>
        </w:rPr>
        <w:t xml:space="preserve">chez les gens âgés entre 85 et 89 ans, le nombre d’individus augmente, à l’exception de l’année 2061, où il y a présence d’une diminution de 27 475 personnes par rapport à la décennie précédente, donc en 2051. </w:t>
      </w:r>
    </w:p>
    <w:p w:rsidR="00BA2986" w:rsidRPr="00BD7A2E" w:rsidRDefault="00963BF5" w:rsidP="00AD79DA">
      <w:pPr>
        <w:ind w:left="-180"/>
        <w:jc w:val="center"/>
        <w:rPr>
          <w:rFonts w:ascii="Arial" w:hAnsi="Arial" w:cs="Arial"/>
          <w:b/>
        </w:rPr>
      </w:pPr>
      <w:r w:rsidRPr="00D67F2F">
        <w:rPr>
          <w:noProof/>
          <w:lang w:val="en-CA" w:eastAsia="en-CA"/>
        </w:rPr>
        <w:drawing>
          <wp:inline distT="0" distB="0" distL="0" distR="0" wp14:anchorId="6A7EEBE2" wp14:editId="222C348A">
            <wp:extent cx="5780599" cy="5493164"/>
            <wp:effectExtent l="0" t="0" r="0" b="0"/>
            <wp:docPr id="4" name="Image 4" descr="C:\Users\user 01\Pictures\veronique\bilan démographique quebec\Captur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01\Pictures\veronique\bilan démographique quebec\Capture1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5104" cy="5592472"/>
                    </a:xfrm>
                    <a:prstGeom prst="rect">
                      <a:avLst/>
                    </a:prstGeom>
                    <a:noFill/>
                    <a:ln>
                      <a:noFill/>
                    </a:ln>
                  </pic:spPr>
                </pic:pic>
              </a:graphicData>
            </a:graphic>
          </wp:inline>
        </w:drawing>
      </w:r>
    </w:p>
    <w:p w:rsidR="00BA2986" w:rsidRDefault="00BA2986" w:rsidP="00BA2986">
      <w:pPr>
        <w:pStyle w:val="Paragraphedeliste"/>
        <w:spacing w:line="360" w:lineRule="auto"/>
        <w:ind w:left="0"/>
        <w:jc w:val="both"/>
        <w:rPr>
          <w:rFonts w:ascii="Arial" w:hAnsi="Arial" w:cs="Arial"/>
        </w:rPr>
      </w:pPr>
      <w:r>
        <w:rPr>
          <w:rFonts w:ascii="Arial" w:hAnsi="Arial" w:cs="Arial"/>
        </w:rPr>
        <w:lastRenderedPageBreak/>
        <w:t xml:space="preserve">La pyramide des âges ci-dessous représente un excellent </w:t>
      </w:r>
      <w:r w:rsidR="00544D85">
        <w:rPr>
          <w:rFonts w:ascii="Arial" w:hAnsi="Arial" w:cs="Arial"/>
        </w:rPr>
        <w:t xml:space="preserve">exemple du </w:t>
      </w:r>
      <w:r>
        <w:rPr>
          <w:rFonts w:ascii="Arial" w:hAnsi="Arial" w:cs="Arial"/>
        </w:rPr>
        <w:t xml:space="preserve">vieillissement de la population au Québec. Cette projection démontre qu’entre 2015 et 2061, le nombre de personnes âgées va s’accroitre de façon significative. </w:t>
      </w:r>
    </w:p>
    <w:p w:rsidR="00BD7A2E" w:rsidRPr="00BA2986" w:rsidRDefault="00BD7A2E" w:rsidP="00BA2986">
      <w:pPr>
        <w:pStyle w:val="Paragraphedeliste"/>
        <w:spacing w:line="360" w:lineRule="auto"/>
        <w:ind w:left="0"/>
        <w:jc w:val="both"/>
        <w:rPr>
          <w:rFonts w:ascii="Arial" w:hAnsi="Arial" w:cs="Arial"/>
        </w:rPr>
      </w:pPr>
    </w:p>
    <w:p w:rsidR="00BD7A2E" w:rsidRPr="00BD7A2E" w:rsidRDefault="00544D85" w:rsidP="00BD7A2E">
      <w:pPr>
        <w:pStyle w:val="Paragraphedeliste"/>
        <w:ind w:left="0"/>
        <w:jc w:val="center"/>
        <w:rPr>
          <w:rFonts w:ascii="Arial" w:hAnsi="Arial" w:cs="Arial"/>
          <w:b/>
        </w:rPr>
      </w:pPr>
      <w:r>
        <w:rPr>
          <w:rFonts w:ascii="Arial" w:hAnsi="Arial" w:cs="Arial"/>
          <w:b/>
          <w:noProof/>
          <w:lang w:val="en-CA" w:eastAsia="en-CA"/>
        </w:rPr>
        <w:drawing>
          <wp:inline distT="0" distB="0" distL="0" distR="0" wp14:anchorId="61EDFC64" wp14:editId="01F88623">
            <wp:extent cx="4554093" cy="2440940"/>
            <wp:effectExtent l="0" t="0" r="0" b="0"/>
            <wp:docPr id="234" name="Image 234" descr="pyramides des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descr="pyramides des ag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3222" cy="2461912"/>
                    </a:xfrm>
                    <a:prstGeom prst="rect">
                      <a:avLst/>
                    </a:prstGeom>
                    <a:noFill/>
                    <a:ln>
                      <a:noFill/>
                    </a:ln>
                  </pic:spPr>
                </pic:pic>
              </a:graphicData>
            </a:graphic>
          </wp:inline>
        </w:drawing>
      </w:r>
    </w:p>
    <w:p w:rsidR="00BD7A2E" w:rsidRDefault="00BD7A2E" w:rsidP="00BA2986">
      <w:pPr>
        <w:ind w:left="720" w:hanging="720"/>
        <w:contextualSpacing/>
        <w:jc w:val="both"/>
        <w:rPr>
          <w:rFonts w:ascii="Segoe UI" w:eastAsia="Calibri" w:hAnsi="Segoe UI" w:cs="Segoe UI"/>
          <w:sz w:val="16"/>
          <w:szCs w:val="20"/>
        </w:rPr>
      </w:pPr>
    </w:p>
    <w:tbl>
      <w:tblPr>
        <w:tblStyle w:val="Grilledutableau"/>
        <w:tblW w:w="0" w:type="auto"/>
        <w:tblInd w:w="-5" w:type="dxa"/>
        <w:tblLook w:val="04A0" w:firstRow="1" w:lastRow="0" w:firstColumn="1" w:lastColumn="0" w:noHBand="0" w:noVBand="1"/>
      </w:tblPr>
      <w:tblGrid>
        <w:gridCol w:w="8635"/>
      </w:tblGrid>
      <w:tr w:rsidR="00BD7A2E" w:rsidTr="00BD7A2E">
        <w:tc>
          <w:tcPr>
            <w:tcW w:w="8635" w:type="dxa"/>
            <w:shd w:val="clear" w:color="auto" w:fill="000000" w:themeFill="text1"/>
          </w:tcPr>
          <w:p w:rsidR="00BD7A2E" w:rsidRDefault="00BD7A2E" w:rsidP="00BD7A2E">
            <w:pPr>
              <w:spacing w:line="240" w:lineRule="auto"/>
              <w:contextualSpacing/>
              <w:jc w:val="both"/>
              <w:rPr>
                <w:rFonts w:ascii="Segoe UI" w:eastAsia="Calibri" w:hAnsi="Segoe UI" w:cs="Segoe UI"/>
                <w:sz w:val="16"/>
                <w:szCs w:val="20"/>
              </w:rPr>
            </w:pPr>
          </w:p>
          <w:p w:rsidR="00BD7A2E" w:rsidRDefault="00BD7A2E" w:rsidP="00BD7A2E">
            <w:pPr>
              <w:spacing w:line="240" w:lineRule="auto"/>
              <w:contextualSpacing/>
              <w:jc w:val="center"/>
              <w:rPr>
                <w:rFonts w:ascii="Arial" w:eastAsia="Calibri" w:hAnsi="Arial" w:cs="Arial"/>
                <w:b/>
                <w:color w:val="FFFFFF" w:themeColor="background1"/>
                <w:sz w:val="28"/>
                <w:szCs w:val="20"/>
              </w:rPr>
            </w:pPr>
          </w:p>
          <w:p w:rsidR="00BD7A2E" w:rsidRDefault="00BD7A2E" w:rsidP="00BD7A2E">
            <w:pPr>
              <w:spacing w:line="240" w:lineRule="auto"/>
              <w:contextualSpacing/>
              <w:jc w:val="center"/>
              <w:rPr>
                <w:rFonts w:ascii="Arial" w:eastAsia="Calibri" w:hAnsi="Arial" w:cs="Arial"/>
                <w:b/>
                <w:color w:val="FFFFFF" w:themeColor="background1"/>
                <w:sz w:val="28"/>
                <w:szCs w:val="20"/>
              </w:rPr>
            </w:pPr>
            <w:r>
              <w:rPr>
                <w:rFonts w:ascii="Arial" w:eastAsia="Calibri" w:hAnsi="Arial" w:cs="Arial"/>
                <w:b/>
                <w:color w:val="FFFFFF" w:themeColor="background1"/>
                <w:sz w:val="28"/>
                <w:szCs w:val="20"/>
              </w:rPr>
              <w:t>3.6 Nombre de personnes centenaires, 2010 et 2015</w:t>
            </w:r>
          </w:p>
          <w:p w:rsidR="00BD7A2E" w:rsidRPr="00BD7A2E" w:rsidRDefault="00BD7A2E" w:rsidP="00BD7A2E">
            <w:pPr>
              <w:contextualSpacing/>
              <w:jc w:val="center"/>
              <w:rPr>
                <w:rFonts w:ascii="Arial" w:eastAsia="Calibri" w:hAnsi="Arial" w:cs="Arial"/>
                <w:b/>
                <w:color w:val="FFFFFF" w:themeColor="background1"/>
                <w:sz w:val="28"/>
                <w:szCs w:val="20"/>
              </w:rPr>
            </w:pPr>
          </w:p>
        </w:tc>
      </w:tr>
    </w:tbl>
    <w:p w:rsidR="00BD7A2E" w:rsidRDefault="00BD7A2E" w:rsidP="00BA2986">
      <w:pPr>
        <w:ind w:left="720" w:hanging="720"/>
        <w:contextualSpacing/>
        <w:jc w:val="both"/>
        <w:rPr>
          <w:rFonts w:ascii="Segoe UI" w:eastAsia="Calibri" w:hAnsi="Segoe UI" w:cs="Segoe UI"/>
          <w:sz w:val="16"/>
          <w:szCs w:val="20"/>
        </w:rPr>
      </w:pPr>
    </w:p>
    <w:p w:rsidR="00BD7A2E" w:rsidRDefault="00BD7A2E" w:rsidP="00BD7A2E">
      <w:pPr>
        <w:pStyle w:val="Paragraphedeliste"/>
        <w:spacing w:line="360" w:lineRule="auto"/>
        <w:ind w:left="0"/>
        <w:jc w:val="both"/>
        <w:rPr>
          <w:rFonts w:ascii="Arial" w:hAnsi="Arial" w:cs="Arial"/>
        </w:rPr>
      </w:pPr>
      <w:r>
        <w:rPr>
          <w:rFonts w:ascii="Arial" w:hAnsi="Arial" w:cs="Arial"/>
        </w:rPr>
        <w:t xml:space="preserve">Le nombre de personnes centenaires a augmenté au Québec entre 2010 et 2015. Il a augmenté de 63 hommes et 591 femmes. Le taux de femmes est 1,5 fois plus élevé en 2010 et en 2015.  </w:t>
      </w:r>
    </w:p>
    <w:p w:rsidR="00BD7A2E" w:rsidRPr="00BD7A2E" w:rsidRDefault="00BD7A2E" w:rsidP="00BD7A2E">
      <w:pPr>
        <w:pStyle w:val="Paragraphedeliste"/>
        <w:spacing w:line="360" w:lineRule="auto"/>
        <w:ind w:left="0"/>
        <w:jc w:val="both"/>
        <w:rPr>
          <w:rFonts w:ascii="Arial" w:hAnsi="Arial" w:cs="Arial"/>
        </w:rPr>
      </w:pPr>
    </w:p>
    <w:p w:rsidR="00BD7A2E" w:rsidRDefault="00BD7A2E" w:rsidP="00BD7A2E">
      <w:pPr>
        <w:pStyle w:val="Paragraphedeliste"/>
        <w:ind w:left="0"/>
        <w:jc w:val="center"/>
        <w:rPr>
          <w:rFonts w:ascii="Arial" w:hAnsi="Arial" w:cs="Arial"/>
          <w:b/>
        </w:rPr>
      </w:pPr>
      <w:r w:rsidRPr="000E5745">
        <w:rPr>
          <w:rFonts w:ascii="Arial" w:hAnsi="Arial" w:cs="Arial"/>
          <w:b/>
          <w:noProof/>
          <w:lang w:val="en-CA" w:eastAsia="en-CA"/>
        </w:rPr>
        <w:drawing>
          <wp:inline distT="0" distB="0" distL="0" distR="0" wp14:anchorId="62C382BE" wp14:editId="017B9E1A">
            <wp:extent cx="4379595" cy="2162755"/>
            <wp:effectExtent l="0" t="0" r="1905" b="9525"/>
            <wp:docPr id="19" name="Image 19" descr="C:\Users\user 01\Pictures\veronique\autres\centena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 01\Pictures\veronique\autres\centenaie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8544" cy="2181989"/>
                    </a:xfrm>
                    <a:prstGeom prst="rect">
                      <a:avLst/>
                    </a:prstGeom>
                    <a:noFill/>
                    <a:ln>
                      <a:noFill/>
                    </a:ln>
                  </pic:spPr>
                </pic:pic>
              </a:graphicData>
            </a:graphic>
          </wp:inline>
        </w:drawing>
      </w:r>
    </w:p>
    <w:p w:rsidR="00BD7A2E" w:rsidRDefault="00BD7A2E" w:rsidP="00BD7A2E">
      <w:pPr>
        <w:spacing w:line="240" w:lineRule="auto"/>
        <w:ind w:left="720" w:hanging="720"/>
        <w:contextualSpacing/>
        <w:jc w:val="both"/>
        <w:rPr>
          <w:rFonts w:ascii="Segoe UI" w:eastAsia="Calibri" w:hAnsi="Segoe UI" w:cs="Segoe UI"/>
          <w:sz w:val="16"/>
          <w:szCs w:val="20"/>
        </w:rPr>
      </w:pPr>
      <w:r w:rsidRPr="00190D02">
        <w:rPr>
          <w:rFonts w:ascii="Segoe UI" w:eastAsia="Calibri" w:hAnsi="Segoe UI" w:cs="Segoe UI"/>
          <w:sz w:val="16"/>
          <w:szCs w:val="20"/>
        </w:rPr>
        <w:t xml:space="preserve">Institut de la statistique du Québec. (2016). </w:t>
      </w:r>
      <w:r w:rsidRPr="00190D02">
        <w:rPr>
          <w:rFonts w:ascii="Segoe UI" w:eastAsia="Calibri" w:hAnsi="Segoe UI" w:cs="Segoe UI"/>
          <w:i/>
          <w:sz w:val="16"/>
          <w:szCs w:val="20"/>
        </w:rPr>
        <w:t xml:space="preserve">Le Québec chiffres en main. </w:t>
      </w:r>
      <w:r w:rsidRPr="00190D02">
        <w:rPr>
          <w:rFonts w:ascii="Segoe UI" w:eastAsia="Calibri" w:hAnsi="Segoe UI" w:cs="Segoe UI"/>
          <w:sz w:val="16"/>
          <w:szCs w:val="20"/>
        </w:rPr>
        <w:t xml:space="preserve">Gouvernement du Québec. </w:t>
      </w:r>
      <w:r>
        <w:rPr>
          <w:rFonts w:ascii="Segoe UI" w:eastAsia="Calibri" w:hAnsi="Segoe UI" w:cs="Segoe UI"/>
          <w:sz w:val="16"/>
          <w:szCs w:val="20"/>
        </w:rPr>
        <w:t>ISBN 978-2-550-75310</w:t>
      </w:r>
    </w:p>
    <w:p w:rsidR="004F3CDC" w:rsidRDefault="005F6749" w:rsidP="00BD7A2E">
      <w:pPr>
        <w:spacing w:line="240" w:lineRule="auto"/>
        <w:ind w:left="720" w:hanging="720"/>
        <w:contextualSpacing/>
        <w:jc w:val="both"/>
        <w:rPr>
          <w:rFonts w:ascii="Segoe UI" w:eastAsia="Calibri" w:hAnsi="Segoe UI" w:cs="Segoe UI"/>
          <w:sz w:val="16"/>
          <w:szCs w:val="20"/>
        </w:rPr>
      </w:pPr>
      <w:r>
        <w:rPr>
          <w:rFonts w:ascii="Segoe UI" w:eastAsia="Calibri" w:hAnsi="Segoe UI" w:cs="Segoe UI"/>
          <w:sz w:val="16"/>
          <w:szCs w:val="20"/>
        </w:rPr>
        <w:t>0 (PDF</w:t>
      </w:r>
    </w:p>
    <w:tbl>
      <w:tblPr>
        <w:tblStyle w:val="Grilledutableau"/>
        <w:tblW w:w="0" w:type="auto"/>
        <w:tblInd w:w="0" w:type="dxa"/>
        <w:tblLook w:val="04A0" w:firstRow="1" w:lastRow="0" w:firstColumn="1" w:lastColumn="0" w:noHBand="0" w:noVBand="1"/>
      </w:tblPr>
      <w:tblGrid>
        <w:gridCol w:w="8630"/>
      </w:tblGrid>
      <w:tr w:rsidR="004F3CDC" w:rsidTr="000A109B">
        <w:tc>
          <w:tcPr>
            <w:tcW w:w="8630" w:type="dxa"/>
            <w:shd w:val="clear" w:color="auto" w:fill="000000" w:themeFill="text1"/>
          </w:tcPr>
          <w:p w:rsidR="004F3CDC" w:rsidRDefault="004F3CDC" w:rsidP="000A109B">
            <w:pPr>
              <w:tabs>
                <w:tab w:val="left" w:pos="0"/>
                <w:tab w:val="left" w:pos="630"/>
                <w:tab w:val="left" w:pos="1440"/>
              </w:tabs>
              <w:spacing w:line="240" w:lineRule="auto"/>
              <w:jc w:val="center"/>
              <w:rPr>
                <w:rFonts w:ascii="Arial" w:eastAsia="Calibri" w:hAnsi="Arial" w:cs="Arial"/>
                <w:b/>
                <w:sz w:val="28"/>
                <w:szCs w:val="16"/>
              </w:rPr>
            </w:pPr>
          </w:p>
          <w:p w:rsidR="004F3CDC" w:rsidRPr="00AF23DD" w:rsidRDefault="004F3CDC" w:rsidP="000A109B">
            <w:pPr>
              <w:tabs>
                <w:tab w:val="left" w:pos="0"/>
                <w:tab w:val="left" w:pos="630"/>
                <w:tab w:val="left" w:pos="1440"/>
              </w:tabs>
              <w:spacing w:line="240" w:lineRule="auto"/>
              <w:jc w:val="center"/>
              <w:rPr>
                <w:rFonts w:ascii="Arial" w:eastAsia="Calibri" w:hAnsi="Arial" w:cs="Arial"/>
                <w:b/>
                <w:color w:val="FFFFFF" w:themeColor="background1"/>
                <w:sz w:val="28"/>
                <w:szCs w:val="16"/>
              </w:rPr>
            </w:pPr>
            <w:r>
              <w:rPr>
                <w:rFonts w:ascii="Arial" w:eastAsia="Calibri" w:hAnsi="Arial" w:cs="Arial"/>
                <w:b/>
                <w:color w:val="FFFFFF" w:themeColor="background1"/>
                <w:sz w:val="28"/>
                <w:szCs w:val="16"/>
              </w:rPr>
              <w:t xml:space="preserve">4. </w:t>
            </w:r>
            <w:r w:rsidR="005F6749">
              <w:rPr>
                <w:rFonts w:ascii="Arial" w:eastAsia="Calibri" w:hAnsi="Arial" w:cs="Arial"/>
                <w:b/>
                <w:color w:val="FFFFFF" w:themeColor="background1"/>
                <w:sz w:val="28"/>
                <w:szCs w:val="16"/>
              </w:rPr>
              <w:t xml:space="preserve">Comparaisons </w:t>
            </w:r>
            <w:r w:rsidRPr="00AF23DD">
              <w:rPr>
                <w:rFonts w:ascii="Arial" w:eastAsia="Calibri" w:hAnsi="Arial" w:cs="Arial"/>
                <w:b/>
                <w:color w:val="FFFFFF" w:themeColor="background1"/>
                <w:sz w:val="28"/>
                <w:szCs w:val="16"/>
              </w:rPr>
              <w:t>entre la population en Outaouais</w:t>
            </w:r>
            <w:r w:rsidR="005F6749">
              <w:rPr>
                <w:rFonts w:ascii="Arial" w:eastAsia="Calibri" w:hAnsi="Arial" w:cs="Arial"/>
                <w:b/>
                <w:color w:val="FFFFFF" w:themeColor="background1"/>
                <w:sz w:val="28"/>
                <w:szCs w:val="16"/>
              </w:rPr>
              <w:t>, les municipalités régionales de comté (MRC)</w:t>
            </w:r>
            <w:r w:rsidRPr="00AF23DD">
              <w:rPr>
                <w:rFonts w:ascii="Arial" w:eastAsia="Calibri" w:hAnsi="Arial" w:cs="Arial"/>
                <w:b/>
                <w:color w:val="FFFFFF" w:themeColor="background1"/>
                <w:sz w:val="28"/>
                <w:szCs w:val="16"/>
              </w:rPr>
              <w:t xml:space="preserve"> et </w:t>
            </w:r>
            <w:r w:rsidR="005F6749">
              <w:rPr>
                <w:rFonts w:ascii="Arial" w:eastAsia="Calibri" w:hAnsi="Arial" w:cs="Arial"/>
                <w:b/>
                <w:color w:val="FFFFFF" w:themeColor="background1"/>
                <w:sz w:val="28"/>
                <w:szCs w:val="16"/>
              </w:rPr>
              <w:t>le</w:t>
            </w:r>
            <w:r w:rsidRPr="00AF23DD">
              <w:rPr>
                <w:rFonts w:ascii="Arial" w:eastAsia="Calibri" w:hAnsi="Arial" w:cs="Arial"/>
                <w:b/>
                <w:color w:val="FFFFFF" w:themeColor="background1"/>
                <w:sz w:val="28"/>
                <w:szCs w:val="16"/>
              </w:rPr>
              <w:t xml:space="preserve"> Québec</w:t>
            </w:r>
          </w:p>
          <w:p w:rsidR="004F3CDC" w:rsidRPr="00AF23DD" w:rsidRDefault="004F3CDC" w:rsidP="000A109B">
            <w:pPr>
              <w:tabs>
                <w:tab w:val="left" w:pos="0"/>
                <w:tab w:val="left" w:pos="630"/>
                <w:tab w:val="left" w:pos="1440"/>
              </w:tabs>
              <w:spacing w:line="360" w:lineRule="auto"/>
              <w:jc w:val="center"/>
              <w:rPr>
                <w:rFonts w:ascii="Arial" w:eastAsia="Calibri" w:hAnsi="Arial" w:cs="Arial"/>
                <w:b/>
                <w:sz w:val="28"/>
                <w:szCs w:val="16"/>
              </w:rPr>
            </w:pPr>
          </w:p>
        </w:tc>
      </w:tr>
    </w:tbl>
    <w:p w:rsidR="004F3CDC" w:rsidRDefault="004F3CDC" w:rsidP="004F3CDC">
      <w:pPr>
        <w:tabs>
          <w:tab w:val="left" w:pos="0"/>
          <w:tab w:val="left" w:pos="630"/>
          <w:tab w:val="left" w:pos="1440"/>
        </w:tabs>
        <w:spacing w:line="360" w:lineRule="auto"/>
        <w:jc w:val="both"/>
        <w:rPr>
          <w:rFonts w:ascii="Arial" w:eastAsia="Calibri" w:hAnsi="Arial" w:cs="Arial"/>
          <w:szCs w:val="16"/>
        </w:rPr>
      </w:pPr>
    </w:p>
    <w:p w:rsidR="004F3CDC" w:rsidRPr="00D211DD" w:rsidRDefault="004F3CDC" w:rsidP="004F3CDC">
      <w:pPr>
        <w:tabs>
          <w:tab w:val="left" w:pos="0"/>
          <w:tab w:val="left" w:pos="630"/>
          <w:tab w:val="left" w:pos="1440"/>
        </w:tabs>
        <w:spacing w:line="360" w:lineRule="auto"/>
        <w:jc w:val="both"/>
        <w:rPr>
          <w:rFonts w:ascii="Arial" w:eastAsia="Calibri" w:hAnsi="Arial" w:cs="Arial"/>
          <w:szCs w:val="16"/>
        </w:rPr>
      </w:pPr>
      <w:r w:rsidRPr="00D211DD">
        <w:rPr>
          <w:rFonts w:ascii="Arial" w:eastAsia="Calibri" w:hAnsi="Arial" w:cs="Arial"/>
          <w:szCs w:val="16"/>
        </w:rPr>
        <w:t>La région de l’Outaouais est composée de moins de personnes âgées selon le</w:t>
      </w:r>
      <w:r>
        <w:rPr>
          <w:rFonts w:ascii="Arial" w:eastAsia="Calibri" w:hAnsi="Arial" w:cs="Arial"/>
          <w:szCs w:val="16"/>
        </w:rPr>
        <w:t xml:space="preserve">s âges présentées ci-dessous comparativement </w:t>
      </w:r>
      <w:r w:rsidRPr="00D211DD">
        <w:rPr>
          <w:rFonts w:ascii="Arial" w:eastAsia="Calibri" w:hAnsi="Arial" w:cs="Arial"/>
          <w:szCs w:val="16"/>
        </w:rPr>
        <w:t xml:space="preserve">à l’ensemble du Québec. La plus grande différence est 3,09% dans la catégorie d’âge de 60 ans et plus. Bref, les écarts ne sont pas significatifs, c’est-à-dire qu’ils sont plutôt moindres. </w:t>
      </w:r>
    </w:p>
    <w:p w:rsidR="004F3CDC" w:rsidRPr="00D211DD" w:rsidRDefault="004F3CDC" w:rsidP="004F3CDC">
      <w:pPr>
        <w:tabs>
          <w:tab w:val="left" w:pos="720"/>
          <w:tab w:val="left" w:pos="1440"/>
        </w:tabs>
        <w:spacing w:line="254" w:lineRule="auto"/>
        <w:ind w:left="720" w:hanging="720"/>
        <w:contextualSpacing/>
        <w:jc w:val="both"/>
        <w:rPr>
          <w:rFonts w:ascii="Segoe UI" w:eastAsia="Calibri" w:hAnsi="Segoe UI" w:cs="Segoe UI"/>
          <w:color w:val="0563C1"/>
          <w:sz w:val="16"/>
          <w:szCs w:val="16"/>
          <w:u w:val="single"/>
        </w:rPr>
      </w:pPr>
    </w:p>
    <w:p w:rsidR="004F3CDC" w:rsidRPr="00D211DD" w:rsidRDefault="004F3CDC" w:rsidP="004F3CDC">
      <w:pPr>
        <w:tabs>
          <w:tab w:val="left" w:pos="720"/>
          <w:tab w:val="left" w:pos="1440"/>
        </w:tabs>
        <w:spacing w:line="254" w:lineRule="auto"/>
        <w:ind w:left="720" w:hanging="720"/>
        <w:contextualSpacing/>
        <w:jc w:val="both"/>
        <w:rPr>
          <w:rFonts w:ascii="Segoe UI" w:eastAsia="Calibri" w:hAnsi="Segoe UI" w:cs="Segoe UI"/>
          <w:color w:val="0563C1"/>
          <w:sz w:val="16"/>
          <w:szCs w:val="16"/>
          <w:u w:val="single"/>
        </w:rPr>
      </w:pPr>
      <w:r w:rsidRPr="00D211DD">
        <w:rPr>
          <w:rFonts w:ascii="Gill Sans MT" w:eastAsia="Gill Sans MT" w:hAnsi="Gill Sans MT" w:cs="Times New Roman"/>
          <w:noProof/>
          <w:color w:val="0563C1"/>
          <w:lang w:val="en-CA" w:eastAsia="en-CA"/>
        </w:rPr>
        <w:drawing>
          <wp:inline distT="0" distB="0" distL="0" distR="0" wp14:anchorId="333760E3" wp14:editId="6E8CB888">
            <wp:extent cx="5518150" cy="5168348"/>
            <wp:effectExtent l="0" t="0" r="6350" b="13335"/>
            <wp:docPr id="20" name="Graphique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F3CDC" w:rsidRDefault="004F3CDC" w:rsidP="004F3CDC">
      <w:pPr>
        <w:jc w:val="both"/>
        <w:rPr>
          <w:rFonts w:ascii="Arial" w:hAnsi="Arial" w:cs="Arial"/>
        </w:rPr>
      </w:pPr>
    </w:p>
    <w:p w:rsidR="004F3CDC" w:rsidRDefault="004F3CDC" w:rsidP="004F3CDC">
      <w:pPr>
        <w:tabs>
          <w:tab w:val="left" w:pos="720"/>
          <w:tab w:val="left" w:pos="1440"/>
        </w:tabs>
        <w:spacing w:line="254" w:lineRule="auto"/>
        <w:ind w:left="720" w:hanging="720"/>
        <w:contextualSpacing/>
        <w:jc w:val="both"/>
        <w:rPr>
          <w:rFonts w:ascii="Segoe UI" w:eastAsia="Calibri" w:hAnsi="Segoe UI" w:cs="Segoe UI"/>
          <w:i/>
          <w:sz w:val="16"/>
          <w:szCs w:val="16"/>
        </w:rPr>
      </w:pPr>
      <w:r>
        <w:rPr>
          <w:rFonts w:ascii="Segoe UI" w:eastAsia="Calibri" w:hAnsi="Segoe UI" w:cs="Segoe UI"/>
          <w:sz w:val="16"/>
          <w:szCs w:val="16"/>
        </w:rPr>
        <w:t xml:space="preserve">Gouvernement du Québec, Institut de la statistique Québec. (2015). </w:t>
      </w:r>
      <w:r>
        <w:rPr>
          <w:rFonts w:ascii="Segoe UI" w:eastAsia="Calibri" w:hAnsi="Segoe UI" w:cs="Segoe UI"/>
          <w:i/>
          <w:sz w:val="16"/>
          <w:szCs w:val="16"/>
        </w:rPr>
        <w:t>L’Outaouais ainsi que ses municipalités régionales de</w:t>
      </w:r>
    </w:p>
    <w:p w:rsidR="005F6749" w:rsidRPr="005F6749" w:rsidRDefault="004F3CDC" w:rsidP="005F6749">
      <w:pPr>
        <w:jc w:val="both"/>
        <w:rPr>
          <w:rFonts w:ascii="Arial" w:hAnsi="Arial" w:cs="Arial"/>
        </w:rPr>
      </w:pPr>
      <w:r>
        <w:rPr>
          <w:rFonts w:ascii="Segoe UI" w:eastAsia="Calibri" w:hAnsi="Segoe UI" w:cs="Segoe UI"/>
          <w:i/>
          <w:sz w:val="16"/>
          <w:szCs w:val="16"/>
        </w:rPr>
        <w:t>comté (MRC).</w:t>
      </w:r>
      <w:r>
        <w:rPr>
          <w:rFonts w:ascii="Segoe UI" w:eastAsia="Calibri" w:hAnsi="Segoe UI" w:cs="Segoe UI"/>
          <w:sz w:val="16"/>
          <w:szCs w:val="16"/>
        </w:rPr>
        <w:t xml:space="preserve"> Repéré dans : </w:t>
      </w:r>
      <w:r w:rsidRPr="005F6749">
        <w:rPr>
          <w:rFonts w:ascii="Segoe UI" w:eastAsia="Calibri" w:hAnsi="Segoe UI" w:cs="Segoe UI"/>
          <w:sz w:val="16"/>
          <w:szCs w:val="16"/>
        </w:rPr>
        <w:t>http://www.stat.gouv.qc.ca/statistiques/profils/region_07/region_07_00.htm</w:t>
      </w:r>
    </w:p>
    <w:p w:rsidR="005F6749" w:rsidRPr="005F6749" w:rsidRDefault="005F6749" w:rsidP="005F6749">
      <w:pPr>
        <w:spacing w:line="254" w:lineRule="auto"/>
        <w:ind w:left="720" w:hanging="720"/>
        <w:contextualSpacing/>
        <w:jc w:val="both"/>
        <w:rPr>
          <w:rFonts w:ascii="Segoe UI" w:eastAsia="Calibri" w:hAnsi="Segoe UI" w:cs="Segoe UI"/>
          <w:color w:val="221E1F"/>
          <w:sz w:val="16"/>
          <w:szCs w:val="20"/>
        </w:rPr>
      </w:pPr>
    </w:p>
    <w:p w:rsidR="005F6749" w:rsidRPr="005F6749" w:rsidRDefault="005F6749" w:rsidP="005F6749">
      <w:pPr>
        <w:tabs>
          <w:tab w:val="left" w:pos="180"/>
          <w:tab w:val="left" w:pos="720"/>
          <w:tab w:val="left" w:pos="1440"/>
        </w:tabs>
        <w:spacing w:line="254" w:lineRule="auto"/>
        <w:ind w:left="720" w:right="360" w:hanging="1620"/>
        <w:contextualSpacing/>
        <w:jc w:val="center"/>
        <w:rPr>
          <w:rFonts w:ascii="Calibri" w:eastAsia="Calibri" w:hAnsi="Calibri" w:cs="Times New Roman"/>
          <w:color w:val="0563C1"/>
          <w:sz w:val="16"/>
          <w:szCs w:val="16"/>
          <w:u w:val="single"/>
        </w:rPr>
      </w:pPr>
      <w:r w:rsidRPr="005F6749">
        <w:rPr>
          <w:rFonts w:ascii="Gill Sans MT" w:eastAsia="Gill Sans MT" w:hAnsi="Gill Sans MT" w:cs="Times New Roman"/>
          <w:noProof/>
          <w:color w:val="0563C1"/>
          <w:lang w:val="en-CA" w:eastAsia="en-CA"/>
        </w:rPr>
        <w:drawing>
          <wp:inline distT="0" distB="0" distL="0" distR="0" wp14:anchorId="5D049B84" wp14:editId="14CF0639">
            <wp:extent cx="6687185" cy="7601447"/>
            <wp:effectExtent l="0" t="0" r="18415" b="0"/>
            <wp:docPr id="21"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F6749" w:rsidRPr="005F6749" w:rsidRDefault="005F6749" w:rsidP="005F6749">
      <w:pPr>
        <w:tabs>
          <w:tab w:val="left" w:pos="720"/>
          <w:tab w:val="left" w:pos="1440"/>
        </w:tabs>
        <w:spacing w:line="254" w:lineRule="auto"/>
        <w:ind w:left="720" w:hanging="720"/>
        <w:contextualSpacing/>
        <w:jc w:val="center"/>
        <w:rPr>
          <w:rFonts w:ascii="Calibri" w:eastAsia="Calibri" w:hAnsi="Calibri" w:cs="Times New Roman"/>
          <w:color w:val="0563C1"/>
          <w:sz w:val="16"/>
          <w:szCs w:val="16"/>
          <w:u w:val="single"/>
        </w:rPr>
      </w:pPr>
    </w:p>
    <w:p w:rsidR="005F6749" w:rsidRPr="005F6749" w:rsidRDefault="005F6749" w:rsidP="005F6749">
      <w:pPr>
        <w:tabs>
          <w:tab w:val="left" w:pos="720"/>
          <w:tab w:val="left" w:pos="1440"/>
        </w:tabs>
        <w:spacing w:line="254" w:lineRule="auto"/>
        <w:ind w:left="720" w:hanging="720"/>
        <w:contextualSpacing/>
        <w:jc w:val="both"/>
        <w:rPr>
          <w:rFonts w:ascii="Segoe UI" w:eastAsia="Calibri" w:hAnsi="Segoe UI" w:cs="Segoe UI"/>
          <w:i/>
          <w:sz w:val="16"/>
          <w:szCs w:val="16"/>
        </w:rPr>
      </w:pPr>
      <w:r w:rsidRPr="005F6749">
        <w:rPr>
          <w:rFonts w:ascii="Segoe UI" w:eastAsia="Calibri" w:hAnsi="Segoe UI" w:cs="Segoe UI"/>
          <w:sz w:val="16"/>
          <w:szCs w:val="16"/>
        </w:rPr>
        <w:t xml:space="preserve">Gouvernement du Québec, Institut de la statistique Québec. (2015). </w:t>
      </w:r>
      <w:r w:rsidRPr="005F6749">
        <w:rPr>
          <w:rFonts w:ascii="Segoe UI" w:eastAsia="Calibri" w:hAnsi="Segoe UI" w:cs="Segoe UI"/>
          <w:i/>
          <w:sz w:val="16"/>
          <w:szCs w:val="16"/>
        </w:rPr>
        <w:t>L’Outaouais ainsi que ses municipalités régionales de</w:t>
      </w:r>
    </w:p>
    <w:p w:rsidR="004F3CDC" w:rsidRPr="005F6749" w:rsidRDefault="005F6749" w:rsidP="005F6749">
      <w:pPr>
        <w:tabs>
          <w:tab w:val="left" w:pos="720"/>
          <w:tab w:val="left" w:pos="1440"/>
        </w:tabs>
        <w:spacing w:line="254" w:lineRule="auto"/>
        <w:ind w:left="720" w:hanging="720"/>
        <w:contextualSpacing/>
        <w:jc w:val="both"/>
        <w:rPr>
          <w:rFonts w:ascii="Segoe UI" w:eastAsia="Calibri" w:hAnsi="Segoe UI" w:cs="Segoe UI"/>
          <w:color w:val="0563C1"/>
          <w:sz w:val="16"/>
          <w:szCs w:val="16"/>
          <w:u w:val="single"/>
        </w:rPr>
      </w:pPr>
      <w:r w:rsidRPr="005F6749">
        <w:rPr>
          <w:rFonts w:ascii="Segoe UI" w:eastAsia="Calibri" w:hAnsi="Segoe UI" w:cs="Segoe UI"/>
          <w:i/>
          <w:sz w:val="16"/>
          <w:szCs w:val="16"/>
        </w:rPr>
        <w:t>comté (MRC).</w:t>
      </w:r>
      <w:r w:rsidRPr="005F6749">
        <w:rPr>
          <w:rFonts w:ascii="Segoe UI" w:eastAsia="Calibri" w:hAnsi="Segoe UI" w:cs="Segoe UI"/>
          <w:sz w:val="16"/>
          <w:szCs w:val="16"/>
        </w:rPr>
        <w:t xml:space="preserve"> Repéré dans : </w:t>
      </w:r>
      <w:r w:rsidRPr="005F6749">
        <w:rPr>
          <w:rFonts w:ascii="Segoe UI" w:eastAsia="Calibri" w:hAnsi="Segoe UI" w:cs="Segoe UI"/>
          <w:color w:val="0563C1"/>
          <w:sz w:val="16"/>
          <w:szCs w:val="16"/>
          <w:u w:val="single"/>
        </w:rPr>
        <w:t>http://www.stat.gouv.qc.ca/statistiques/profils/region_07/region_07_00.htm</w:t>
      </w:r>
    </w:p>
    <w:tbl>
      <w:tblPr>
        <w:tblStyle w:val="Grilledutableau"/>
        <w:tblW w:w="0" w:type="auto"/>
        <w:tblInd w:w="0" w:type="dxa"/>
        <w:tblLook w:val="04A0" w:firstRow="1" w:lastRow="0" w:firstColumn="1" w:lastColumn="0" w:noHBand="0" w:noVBand="1"/>
      </w:tblPr>
      <w:tblGrid>
        <w:gridCol w:w="8630"/>
      </w:tblGrid>
      <w:tr w:rsidR="00AF23DD" w:rsidTr="00A868CC">
        <w:tc>
          <w:tcPr>
            <w:tcW w:w="8630" w:type="dxa"/>
            <w:shd w:val="clear" w:color="auto" w:fill="000000" w:themeFill="text1"/>
          </w:tcPr>
          <w:p w:rsidR="00AF23DD" w:rsidRPr="00AF23DD" w:rsidRDefault="00AF23DD" w:rsidP="00A302BB">
            <w:pPr>
              <w:tabs>
                <w:tab w:val="left" w:pos="4934"/>
              </w:tabs>
              <w:jc w:val="center"/>
              <w:rPr>
                <w:rFonts w:ascii="Arial" w:hAnsi="Arial" w:cs="Arial"/>
                <w:b/>
                <w:sz w:val="28"/>
              </w:rPr>
            </w:pPr>
          </w:p>
          <w:p w:rsidR="00AF23DD" w:rsidRPr="00AF23DD" w:rsidRDefault="005F6749" w:rsidP="00A302BB">
            <w:pPr>
              <w:tabs>
                <w:tab w:val="left" w:pos="4934"/>
              </w:tabs>
              <w:jc w:val="center"/>
              <w:rPr>
                <w:rFonts w:ascii="Arial" w:hAnsi="Arial" w:cs="Arial"/>
                <w:b/>
                <w:sz w:val="28"/>
              </w:rPr>
            </w:pPr>
            <w:r>
              <w:rPr>
                <w:rFonts w:ascii="Arial" w:hAnsi="Arial" w:cs="Arial"/>
                <w:b/>
                <w:sz w:val="28"/>
              </w:rPr>
              <w:t>5</w:t>
            </w:r>
            <w:r w:rsidR="00A868CC">
              <w:rPr>
                <w:rFonts w:ascii="Arial" w:hAnsi="Arial" w:cs="Arial"/>
                <w:b/>
                <w:sz w:val="28"/>
              </w:rPr>
              <w:t xml:space="preserve">. </w:t>
            </w:r>
            <w:r w:rsidR="00AF23DD" w:rsidRPr="00AF23DD">
              <w:rPr>
                <w:rFonts w:ascii="Arial" w:hAnsi="Arial" w:cs="Arial"/>
                <w:b/>
                <w:sz w:val="28"/>
              </w:rPr>
              <w:t>Conclusion</w:t>
            </w:r>
          </w:p>
          <w:p w:rsidR="00AF23DD" w:rsidRDefault="00AF23DD" w:rsidP="00A302BB">
            <w:pPr>
              <w:tabs>
                <w:tab w:val="left" w:pos="4934"/>
              </w:tabs>
              <w:jc w:val="center"/>
              <w:rPr>
                <w:rFonts w:ascii="Arial" w:hAnsi="Arial" w:cs="Arial"/>
                <w:b/>
              </w:rPr>
            </w:pPr>
          </w:p>
        </w:tc>
      </w:tr>
    </w:tbl>
    <w:p w:rsidR="00AF23DD" w:rsidRDefault="00AF23DD" w:rsidP="00A302BB">
      <w:pPr>
        <w:tabs>
          <w:tab w:val="left" w:pos="4934"/>
        </w:tabs>
        <w:spacing w:after="0"/>
        <w:jc w:val="center"/>
        <w:rPr>
          <w:rFonts w:ascii="Arial" w:hAnsi="Arial" w:cs="Arial"/>
          <w:b/>
        </w:rPr>
      </w:pPr>
    </w:p>
    <w:p w:rsidR="00BD42FB" w:rsidRDefault="00BD42FB" w:rsidP="00A302BB">
      <w:pPr>
        <w:tabs>
          <w:tab w:val="left" w:pos="4934"/>
        </w:tabs>
        <w:spacing w:after="0"/>
        <w:jc w:val="center"/>
        <w:rPr>
          <w:rFonts w:ascii="Arial" w:hAnsi="Arial" w:cs="Arial"/>
          <w:b/>
        </w:rPr>
      </w:pPr>
    </w:p>
    <w:p w:rsidR="00A302BB" w:rsidRDefault="00A302BB" w:rsidP="00A302BB">
      <w:pPr>
        <w:tabs>
          <w:tab w:val="left" w:pos="4934"/>
        </w:tabs>
        <w:spacing w:after="0"/>
        <w:jc w:val="center"/>
        <w:rPr>
          <w:rFonts w:ascii="Arial" w:hAnsi="Arial" w:cs="Arial"/>
          <w:b/>
        </w:rPr>
      </w:pPr>
    </w:p>
    <w:p w:rsidR="003E543B" w:rsidRDefault="00BD42FB" w:rsidP="00A302BB">
      <w:pPr>
        <w:tabs>
          <w:tab w:val="left" w:pos="0"/>
        </w:tabs>
        <w:spacing w:after="0" w:line="360" w:lineRule="auto"/>
        <w:jc w:val="both"/>
        <w:rPr>
          <w:rFonts w:ascii="Arial" w:hAnsi="Arial" w:cs="Arial"/>
        </w:rPr>
      </w:pPr>
      <w:r>
        <w:rPr>
          <w:rFonts w:ascii="Arial" w:hAnsi="Arial" w:cs="Arial"/>
        </w:rPr>
        <w:t>Il</w:t>
      </w:r>
      <w:r w:rsidRPr="00BD42FB">
        <w:rPr>
          <w:rFonts w:ascii="Arial" w:hAnsi="Arial" w:cs="Arial"/>
        </w:rPr>
        <w:t xml:space="preserve"> est essentiel de relever</w:t>
      </w:r>
      <w:r>
        <w:rPr>
          <w:rFonts w:ascii="Arial" w:hAnsi="Arial" w:cs="Arial"/>
        </w:rPr>
        <w:t xml:space="preserve"> des éléments saillants des données démographiques présentées</w:t>
      </w:r>
      <w:r w:rsidR="00D659AE">
        <w:rPr>
          <w:rFonts w:ascii="Arial" w:hAnsi="Arial" w:cs="Arial"/>
        </w:rPr>
        <w:t xml:space="preserve"> précédemment à la page 17 du document</w:t>
      </w:r>
      <w:r>
        <w:rPr>
          <w:rFonts w:ascii="Arial" w:hAnsi="Arial" w:cs="Arial"/>
        </w:rPr>
        <w:t xml:space="preserve">. </w:t>
      </w:r>
      <w:r w:rsidRPr="00BD42FB">
        <w:rPr>
          <w:rFonts w:ascii="Arial" w:hAnsi="Arial" w:cs="Arial"/>
        </w:rPr>
        <w:t xml:space="preserve">Dans la </w:t>
      </w:r>
      <w:r>
        <w:rPr>
          <w:rFonts w:ascii="Arial" w:hAnsi="Arial" w:cs="Arial"/>
        </w:rPr>
        <w:t>municipalité régionale de comté (</w:t>
      </w:r>
      <w:r w:rsidRPr="00BD42FB">
        <w:rPr>
          <w:rFonts w:ascii="Arial" w:hAnsi="Arial" w:cs="Arial"/>
        </w:rPr>
        <w:t>M</w:t>
      </w:r>
      <w:r>
        <w:rPr>
          <w:rFonts w:ascii="Arial" w:hAnsi="Arial" w:cs="Arial"/>
        </w:rPr>
        <w:t xml:space="preserve">RC) de Papineau, il y a 53,21% </w:t>
      </w:r>
      <w:r w:rsidRPr="00BD42FB">
        <w:rPr>
          <w:rFonts w:ascii="Arial" w:hAnsi="Arial" w:cs="Arial"/>
        </w:rPr>
        <w:t>individus âgés de 50 ans et plus. Cela représente plus de la moitié de sa population. Il s’agit de la MRC la plus vieillissante, suivi de près par la Vallée-de-la-Gatineau qui est représentée par 50,60% de sa population totale et ensuite le Pontiac qui correspond à 49,84%. Gatineau est la région qui comporte le moins d’individus de 50 ans et plus, soit 34,66%. La MRC des Collines-de-l’Outaouais est composée du plus faible taux d’individus âgés de 60 ans et plus et 65 ans et plus. Enfin, Papineau est la MRC qui comporte le plus haut pourcentage d’individus âgés de 50 ans et plus, 60 ans et plus et 65 ans et plus.</w:t>
      </w:r>
    </w:p>
    <w:p w:rsidR="00A302BB" w:rsidRDefault="00A302BB" w:rsidP="00A302BB">
      <w:pPr>
        <w:tabs>
          <w:tab w:val="left" w:pos="0"/>
        </w:tabs>
        <w:spacing w:after="0" w:line="360" w:lineRule="auto"/>
        <w:jc w:val="both"/>
        <w:rPr>
          <w:rFonts w:ascii="Arial" w:hAnsi="Arial" w:cs="Arial"/>
        </w:rPr>
      </w:pPr>
    </w:p>
    <w:p w:rsidR="00A302BB" w:rsidRDefault="00AF1490" w:rsidP="00A302BB">
      <w:pPr>
        <w:tabs>
          <w:tab w:val="left" w:pos="0"/>
        </w:tabs>
        <w:spacing w:after="0" w:line="360" w:lineRule="auto"/>
        <w:jc w:val="both"/>
        <w:rPr>
          <w:rFonts w:ascii="Arial" w:hAnsi="Arial" w:cs="Arial"/>
        </w:rPr>
      </w:pPr>
      <w:r>
        <w:rPr>
          <w:rFonts w:ascii="Arial" w:hAnsi="Arial" w:cs="Arial"/>
        </w:rPr>
        <w:t>De surcroit, le taux de femmes âgé</w:t>
      </w:r>
      <w:r w:rsidR="00701E16">
        <w:rPr>
          <w:rFonts w:ascii="Arial" w:hAnsi="Arial" w:cs="Arial"/>
        </w:rPr>
        <w:t>e</w:t>
      </w:r>
      <w:r>
        <w:rPr>
          <w:rFonts w:ascii="Arial" w:hAnsi="Arial" w:cs="Arial"/>
        </w:rPr>
        <w:t>s est supérieur à celui des hommes. Bien que les différences ne soient pas si significativ</w:t>
      </w:r>
      <w:r w:rsidR="00701E16">
        <w:rPr>
          <w:rFonts w:ascii="Arial" w:hAnsi="Arial" w:cs="Arial"/>
        </w:rPr>
        <w:t>es, il est important de cibler l</w:t>
      </w:r>
      <w:r>
        <w:rPr>
          <w:rFonts w:ascii="Arial" w:hAnsi="Arial" w:cs="Arial"/>
        </w:rPr>
        <w:t>e</w:t>
      </w:r>
      <w:r w:rsidR="00701E16">
        <w:rPr>
          <w:rFonts w:ascii="Arial" w:hAnsi="Arial" w:cs="Arial"/>
        </w:rPr>
        <w:t>s</w:t>
      </w:r>
      <w:r>
        <w:rPr>
          <w:rFonts w:ascii="Arial" w:hAnsi="Arial" w:cs="Arial"/>
        </w:rPr>
        <w:t xml:space="preserve"> différence</w:t>
      </w:r>
      <w:r w:rsidR="00701E16">
        <w:rPr>
          <w:rFonts w:ascii="Arial" w:hAnsi="Arial" w:cs="Arial"/>
        </w:rPr>
        <w:t>s entre les sexes. Une des causes probables est que l’espérance de vie chez les femmes est plus élevée. De plus, selon la perspective démographique en Outaouais, le nombre d’aînés augmente continuellement entre 2011 et 2036, à l’exception d’une légère diminution de population âgée entre 65 et 74 ans entre les années 2031 et 2036.</w:t>
      </w:r>
    </w:p>
    <w:p w:rsidR="00A302BB" w:rsidRPr="00A302BB" w:rsidRDefault="00A302BB" w:rsidP="00A302BB">
      <w:pPr>
        <w:tabs>
          <w:tab w:val="left" w:pos="0"/>
        </w:tabs>
        <w:spacing w:after="0" w:line="360" w:lineRule="auto"/>
        <w:jc w:val="both"/>
        <w:rPr>
          <w:rFonts w:ascii="Arial" w:hAnsi="Arial" w:cs="Arial"/>
        </w:rPr>
      </w:pPr>
    </w:p>
    <w:p w:rsidR="00A302BB" w:rsidRDefault="00A302BB" w:rsidP="00A302BB">
      <w:pPr>
        <w:tabs>
          <w:tab w:val="left" w:pos="4934"/>
        </w:tabs>
        <w:spacing w:after="0" w:line="360" w:lineRule="auto"/>
        <w:jc w:val="both"/>
        <w:rPr>
          <w:rFonts w:ascii="Arial" w:hAnsi="Arial" w:cs="Arial"/>
        </w:rPr>
      </w:pPr>
      <w:r>
        <w:rPr>
          <w:rFonts w:ascii="Arial" w:hAnsi="Arial" w:cs="Arial"/>
        </w:rPr>
        <w:t xml:space="preserve">Au Québec, en 2015, 39,55% des gens sont âgés de 50 ans et plus, 24,20% de 60 ans et plus et 17,58% de 65 ans </w:t>
      </w:r>
      <w:r w:rsidR="00E8776F">
        <w:rPr>
          <w:rFonts w:ascii="Arial" w:hAnsi="Arial" w:cs="Arial"/>
        </w:rPr>
        <w:t xml:space="preserve">et plus. La province du Québec compte légèrement plus d’aînés qu’en Outaouais. </w:t>
      </w:r>
    </w:p>
    <w:p w:rsidR="00AA14ED" w:rsidRDefault="00AA14ED" w:rsidP="00A302BB">
      <w:pPr>
        <w:tabs>
          <w:tab w:val="left" w:pos="4934"/>
        </w:tabs>
        <w:spacing w:after="0" w:line="360" w:lineRule="auto"/>
        <w:jc w:val="both"/>
        <w:rPr>
          <w:rFonts w:ascii="Arial" w:hAnsi="Arial" w:cs="Arial"/>
        </w:rPr>
      </w:pPr>
    </w:p>
    <w:p w:rsidR="00AA14ED" w:rsidRPr="00D659AE" w:rsidRDefault="00AA14ED" w:rsidP="00D659AE">
      <w:pPr>
        <w:pStyle w:val="Paragraphedeliste"/>
        <w:spacing w:line="360" w:lineRule="auto"/>
        <w:ind w:left="0"/>
        <w:jc w:val="both"/>
        <w:rPr>
          <w:rFonts w:ascii="Arial" w:hAnsi="Arial" w:cs="Arial"/>
          <w:szCs w:val="20"/>
        </w:rPr>
      </w:pPr>
      <w:r>
        <w:rPr>
          <w:rFonts w:ascii="Arial" w:hAnsi="Arial" w:cs="Arial"/>
          <w:szCs w:val="20"/>
        </w:rPr>
        <w:t xml:space="preserve">Du point de vue démographique, le nombre d’aînés s’accroît au sein de nos sociétés, au Québec, en Outaouais et les municipalités régionales de comté. Effectivement, la vague de baby-boomers vieillit et l’espérance de vie augmente à travers les années, notamment grâce à l’apport de la science. Selon les projections, le nombre d’enfants va diminuer, tandis que le nombre de personnes âgées va augmenter. De ce fait, il est essentiel de préparer et d’adapter l’ensemble de la population aux changements démographiques et aux enjeux qui sont reliés. </w:t>
      </w:r>
    </w:p>
    <w:sectPr w:rsidR="00AA14ED" w:rsidRPr="00D659AE">
      <w:footerReference w:type="default" r:id="rI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B3" w:rsidRDefault="00B02FB3" w:rsidP="0031300B">
      <w:pPr>
        <w:spacing w:after="0" w:line="240" w:lineRule="auto"/>
      </w:pPr>
      <w:r>
        <w:separator/>
      </w:r>
    </w:p>
  </w:endnote>
  <w:endnote w:type="continuationSeparator" w:id="0">
    <w:p w:rsidR="00B02FB3" w:rsidRDefault="00B02FB3" w:rsidP="0031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483653"/>
      <w:docPartObj>
        <w:docPartGallery w:val="Page Numbers (Bottom of Page)"/>
        <w:docPartUnique/>
      </w:docPartObj>
    </w:sdtPr>
    <w:sdtEndPr/>
    <w:sdtContent>
      <w:p w:rsidR="0031300B" w:rsidRDefault="0031300B">
        <w:pPr>
          <w:pStyle w:val="Pieddepage"/>
          <w:jc w:val="right"/>
        </w:pPr>
        <w:r>
          <w:fldChar w:fldCharType="begin"/>
        </w:r>
        <w:r>
          <w:instrText>PAGE   \* MERGEFORMAT</w:instrText>
        </w:r>
        <w:r>
          <w:fldChar w:fldCharType="separate"/>
        </w:r>
        <w:r w:rsidR="00CD32F0" w:rsidRPr="00CD32F0">
          <w:rPr>
            <w:noProof/>
            <w:lang w:val="fr-FR"/>
          </w:rPr>
          <w:t>1</w:t>
        </w:r>
        <w:r>
          <w:fldChar w:fldCharType="end"/>
        </w:r>
      </w:p>
    </w:sdtContent>
  </w:sdt>
  <w:p w:rsidR="0031300B" w:rsidRDefault="003130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B3" w:rsidRDefault="00B02FB3" w:rsidP="0031300B">
      <w:pPr>
        <w:spacing w:after="0" w:line="240" w:lineRule="auto"/>
      </w:pPr>
      <w:r>
        <w:separator/>
      </w:r>
    </w:p>
  </w:footnote>
  <w:footnote w:type="continuationSeparator" w:id="0">
    <w:p w:rsidR="00B02FB3" w:rsidRDefault="00B02FB3" w:rsidP="0031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67834"/>
    <w:multiLevelType w:val="hybridMultilevel"/>
    <w:tmpl w:val="24C0521C"/>
    <w:lvl w:ilvl="0" w:tplc="0C0C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0B"/>
    <w:rsid w:val="000473B9"/>
    <w:rsid w:val="00070957"/>
    <w:rsid w:val="000827D7"/>
    <w:rsid w:val="00094DD3"/>
    <w:rsid w:val="00097BC0"/>
    <w:rsid w:val="000D2239"/>
    <w:rsid w:val="000D6B1E"/>
    <w:rsid w:val="00120E12"/>
    <w:rsid w:val="00197C23"/>
    <w:rsid w:val="001A29FD"/>
    <w:rsid w:val="002328FC"/>
    <w:rsid w:val="00251DC9"/>
    <w:rsid w:val="0029482A"/>
    <w:rsid w:val="0031300B"/>
    <w:rsid w:val="00394430"/>
    <w:rsid w:val="003E18BB"/>
    <w:rsid w:val="003E543B"/>
    <w:rsid w:val="00407F81"/>
    <w:rsid w:val="00460316"/>
    <w:rsid w:val="004A6F5F"/>
    <w:rsid w:val="004F3CDC"/>
    <w:rsid w:val="0052095F"/>
    <w:rsid w:val="00543948"/>
    <w:rsid w:val="00544D85"/>
    <w:rsid w:val="00560D51"/>
    <w:rsid w:val="00564843"/>
    <w:rsid w:val="005B65DC"/>
    <w:rsid w:val="005E31E9"/>
    <w:rsid w:val="005F6749"/>
    <w:rsid w:val="00636821"/>
    <w:rsid w:val="00650BC7"/>
    <w:rsid w:val="00701E16"/>
    <w:rsid w:val="008F6A7A"/>
    <w:rsid w:val="0090610E"/>
    <w:rsid w:val="00963BF5"/>
    <w:rsid w:val="009A70E3"/>
    <w:rsid w:val="00A302BB"/>
    <w:rsid w:val="00A52677"/>
    <w:rsid w:val="00A74674"/>
    <w:rsid w:val="00A868CC"/>
    <w:rsid w:val="00AA14ED"/>
    <w:rsid w:val="00AB4257"/>
    <w:rsid w:val="00AD79DA"/>
    <w:rsid w:val="00AF1490"/>
    <w:rsid w:val="00AF23DD"/>
    <w:rsid w:val="00B00590"/>
    <w:rsid w:val="00B02FB3"/>
    <w:rsid w:val="00B04060"/>
    <w:rsid w:val="00B330B2"/>
    <w:rsid w:val="00B910B6"/>
    <w:rsid w:val="00BA2986"/>
    <w:rsid w:val="00BD42FB"/>
    <w:rsid w:val="00BD7A2E"/>
    <w:rsid w:val="00C05B20"/>
    <w:rsid w:val="00C133CE"/>
    <w:rsid w:val="00CD32F0"/>
    <w:rsid w:val="00D211DD"/>
    <w:rsid w:val="00D659AE"/>
    <w:rsid w:val="00E877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C150C-845E-4C03-8DFF-12EB3E63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B6"/>
    <w:pPr>
      <w:spacing w:line="256" w:lineRule="auto"/>
    </w:pPr>
  </w:style>
  <w:style w:type="paragraph" w:styleId="Titre1">
    <w:name w:val="heading 1"/>
    <w:basedOn w:val="Normal"/>
    <w:next w:val="Normal"/>
    <w:link w:val="Titre1Car"/>
    <w:uiPriority w:val="9"/>
    <w:qFormat/>
    <w:rsid w:val="00B00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300B"/>
    <w:rPr>
      <w:color w:val="0000FF"/>
      <w:u w:val="single"/>
    </w:rPr>
  </w:style>
  <w:style w:type="paragraph" w:styleId="En-tte">
    <w:name w:val="header"/>
    <w:basedOn w:val="Normal"/>
    <w:link w:val="En-tteCar"/>
    <w:uiPriority w:val="99"/>
    <w:unhideWhenUsed/>
    <w:rsid w:val="0031300B"/>
    <w:pPr>
      <w:tabs>
        <w:tab w:val="center" w:pos="4320"/>
        <w:tab w:val="right" w:pos="8640"/>
      </w:tabs>
      <w:spacing w:after="0" w:line="240" w:lineRule="auto"/>
    </w:pPr>
  </w:style>
  <w:style w:type="character" w:customStyle="1" w:styleId="En-tteCar">
    <w:name w:val="En-tête Car"/>
    <w:basedOn w:val="Policepardfaut"/>
    <w:link w:val="En-tte"/>
    <w:uiPriority w:val="99"/>
    <w:rsid w:val="0031300B"/>
  </w:style>
  <w:style w:type="paragraph" w:styleId="Pieddepage">
    <w:name w:val="footer"/>
    <w:basedOn w:val="Normal"/>
    <w:link w:val="PieddepageCar"/>
    <w:uiPriority w:val="99"/>
    <w:unhideWhenUsed/>
    <w:rsid w:val="003130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300B"/>
  </w:style>
  <w:style w:type="table" w:customStyle="1" w:styleId="TableauListe7Couleur-Accentuation51">
    <w:name w:val="Tableau Liste 7 Couleur - Accentuation 51"/>
    <w:basedOn w:val="TableauNormal"/>
    <w:uiPriority w:val="52"/>
    <w:rsid w:val="00D211DD"/>
    <w:pPr>
      <w:spacing w:after="0" w:line="240" w:lineRule="auto"/>
    </w:pPr>
    <w:rPr>
      <w:rFonts w:ascii="Gill Sans MT" w:eastAsia="Gill Sans MT" w:hAnsi="Gill Sans MT" w:cs="Times New Roman"/>
      <w:color w:val="388DAE"/>
    </w:rPr>
    <w:tblPr>
      <w:tblStyleRowBandSize w:val="1"/>
      <w:tblStyleColBandSize w:val="1"/>
      <w:tblInd w:w="0" w:type="nil"/>
    </w:tblPr>
    <w:tblStylePr w:type="firstRow">
      <w:rPr>
        <w:rFonts w:ascii="Gill Sans MT" w:eastAsia="Times New Roman" w:hAnsi="Gill Sans MT" w:cs="Times New Roman" w:hint="default"/>
        <w:i/>
        <w:iCs/>
        <w:sz w:val="26"/>
        <w:szCs w:val="26"/>
      </w:rPr>
      <w:tblPr/>
      <w:tcPr>
        <w:tcBorders>
          <w:bottom w:val="single" w:sz="4" w:space="0" w:color="66B1CE"/>
        </w:tcBorders>
        <w:shd w:val="clear" w:color="auto" w:fill="FFFFFF"/>
      </w:tcPr>
    </w:tblStylePr>
    <w:tblStylePr w:type="lastRow">
      <w:rPr>
        <w:rFonts w:ascii="Gill Sans MT" w:eastAsia="Times New Roman" w:hAnsi="Gill Sans MT" w:cs="Times New Roman" w:hint="default"/>
        <w:i/>
        <w:iCs/>
        <w:sz w:val="26"/>
        <w:szCs w:val="26"/>
      </w:rPr>
      <w:tblPr/>
      <w:tcPr>
        <w:tcBorders>
          <w:top w:val="single" w:sz="4" w:space="0" w:color="66B1CE"/>
        </w:tcBorders>
        <w:shd w:val="clear" w:color="auto" w:fill="FFFFFF"/>
      </w:tcPr>
    </w:tblStylePr>
    <w:tblStylePr w:type="firstCol">
      <w:pPr>
        <w:jc w:val="right"/>
      </w:pPr>
      <w:rPr>
        <w:rFonts w:ascii="Gill Sans MT" w:eastAsia="Times New Roman" w:hAnsi="Gill Sans MT" w:cs="Times New Roman" w:hint="default"/>
        <w:i/>
        <w:iCs/>
        <w:sz w:val="26"/>
        <w:szCs w:val="26"/>
      </w:rPr>
      <w:tblPr/>
      <w:tcPr>
        <w:tcBorders>
          <w:right w:val="single" w:sz="4" w:space="0" w:color="66B1CE"/>
        </w:tcBorders>
        <w:shd w:val="clear" w:color="auto" w:fill="FFFFFF"/>
      </w:tcPr>
    </w:tblStylePr>
    <w:tblStylePr w:type="lastCol">
      <w:rPr>
        <w:rFonts w:ascii="Gill Sans MT" w:eastAsia="Times New Roman" w:hAnsi="Gill Sans MT" w:cs="Times New Roman" w:hint="default"/>
        <w:i/>
        <w:iCs/>
        <w:sz w:val="26"/>
        <w:szCs w:val="26"/>
      </w:rPr>
      <w:tblPr/>
      <w:tcPr>
        <w:tcBorders>
          <w:left w:val="single" w:sz="4" w:space="0" w:color="66B1CE"/>
        </w:tcBorders>
        <w:shd w:val="clear" w:color="auto" w:fill="FFFFFF"/>
      </w:tcPr>
    </w:tblStylePr>
    <w:tblStylePr w:type="band1Vert">
      <w:tblPr/>
      <w:tcPr>
        <w:shd w:val="clear" w:color="auto" w:fill="E0EFF5"/>
      </w:tcPr>
    </w:tblStylePr>
    <w:tblStylePr w:type="band1Horz">
      <w:tblPr/>
      <w:tcPr>
        <w:shd w:val="clear" w:color="auto" w:fill="E0EF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D211DD"/>
    <w:pPr>
      <w:ind w:left="720"/>
      <w:contextualSpacing/>
    </w:pPr>
  </w:style>
  <w:style w:type="table" w:styleId="Grilledutableau">
    <w:name w:val="Table Grid"/>
    <w:basedOn w:val="TableauNormal"/>
    <w:uiPriority w:val="39"/>
    <w:rsid w:val="00D211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00590"/>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00590"/>
    <w:pPr>
      <w:spacing w:line="259" w:lineRule="auto"/>
      <w:outlineLvl w:val="9"/>
    </w:pPr>
    <w:rPr>
      <w:lang w:eastAsia="fr-CA"/>
    </w:rPr>
  </w:style>
  <w:style w:type="paragraph" w:styleId="TM2">
    <w:name w:val="toc 2"/>
    <w:basedOn w:val="Normal"/>
    <w:next w:val="Normal"/>
    <w:autoRedefine/>
    <w:uiPriority w:val="39"/>
    <w:unhideWhenUsed/>
    <w:rsid w:val="00B00590"/>
    <w:pPr>
      <w:spacing w:after="100" w:line="259" w:lineRule="auto"/>
      <w:ind w:left="220"/>
    </w:pPr>
    <w:rPr>
      <w:rFonts w:eastAsiaTheme="minorEastAsia" w:cs="Times New Roman"/>
      <w:lang w:eastAsia="fr-CA"/>
    </w:rPr>
  </w:style>
  <w:style w:type="paragraph" w:styleId="TM1">
    <w:name w:val="toc 1"/>
    <w:basedOn w:val="Normal"/>
    <w:next w:val="Normal"/>
    <w:autoRedefine/>
    <w:uiPriority w:val="39"/>
    <w:unhideWhenUsed/>
    <w:rsid w:val="00B00590"/>
    <w:pPr>
      <w:spacing w:after="100" w:line="259" w:lineRule="auto"/>
    </w:pPr>
    <w:rPr>
      <w:rFonts w:eastAsiaTheme="minorEastAsia" w:cs="Times New Roman"/>
      <w:lang w:eastAsia="fr-CA"/>
    </w:rPr>
  </w:style>
  <w:style w:type="paragraph" w:styleId="TM3">
    <w:name w:val="toc 3"/>
    <w:basedOn w:val="Normal"/>
    <w:next w:val="Normal"/>
    <w:autoRedefine/>
    <w:uiPriority w:val="39"/>
    <w:unhideWhenUsed/>
    <w:rsid w:val="00B910B6"/>
    <w:pPr>
      <w:spacing w:after="100" w:line="480" w:lineRule="auto"/>
      <w:ind w:left="446"/>
      <w:jc w:val="both"/>
    </w:pPr>
    <w:rPr>
      <w:rFonts w:ascii="Arial" w:eastAsiaTheme="minorEastAsia" w:hAnsi="Arial" w:cs="Arial"/>
      <w:b/>
      <w:lang w:eastAsia="fr-CA"/>
    </w:rPr>
  </w:style>
  <w:style w:type="table" w:customStyle="1" w:styleId="Grilledutableau1">
    <w:name w:val="Grille du tableau1"/>
    <w:basedOn w:val="TableauNormal"/>
    <w:next w:val="Grilledutableau"/>
    <w:uiPriority w:val="39"/>
    <w:rsid w:val="005F67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9811">
      <w:bodyDiv w:val="1"/>
      <w:marLeft w:val="0"/>
      <w:marRight w:val="0"/>
      <w:marTop w:val="0"/>
      <w:marBottom w:val="0"/>
      <w:divBdr>
        <w:top w:val="none" w:sz="0" w:space="0" w:color="auto"/>
        <w:left w:val="none" w:sz="0" w:space="0" w:color="auto"/>
        <w:bottom w:val="none" w:sz="0" w:space="0" w:color="auto"/>
        <w:right w:val="none" w:sz="0" w:space="0" w:color="auto"/>
      </w:divBdr>
    </w:div>
    <w:div w:id="569383905">
      <w:bodyDiv w:val="1"/>
      <w:marLeft w:val="0"/>
      <w:marRight w:val="0"/>
      <w:marTop w:val="0"/>
      <w:marBottom w:val="0"/>
      <w:divBdr>
        <w:top w:val="none" w:sz="0" w:space="0" w:color="auto"/>
        <w:left w:val="none" w:sz="0" w:space="0" w:color="auto"/>
        <w:bottom w:val="none" w:sz="0" w:space="0" w:color="auto"/>
        <w:right w:val="none" w:sz="0" w:space="0" w:color="auto"/>
      </w:divBdr>
    </w:div>
    <w:div w:id="634988080">
      <w:bodyDiv w:val="1"/>
      <w:marLeft w:val="0"/>
      <w:marRight w:val="0"/>
      <w:marTop w:val="0"/>
      <w:marBottom w:val="0"/>
      <w:divBdr>
        <w:top w:val="none" w:sz="0" w:space="0" w:color="auto"/>
        <w:left w:val="none" w:sz="0" w:space="0" w:color="auto"/>
        <w:bottom w:val="none" w:sz="0" w:space="0" w:color="auto"/>
        <w:right w:val="none" w:sz="0" w:space="0" w:color="auto"/>
      </w:divBdr>
    </w:div>
    <w:div w:id="806892536">
      <w:bodyDiv w:val="1"/>
      <w:marLeft w:val="0"/>
      <w:marRight w:val="0"/>
      <w:marTop w:val="0"/>
      <w:marBottom w:val="0"/>
      <w:divBdr>
        <w:top w:val="none" w:sz="0" w:space="0" w:color="auto"/>
        <w:left w:val="none" w:sz="0" w:space="0" w:color="auto"/>
        <w:bottom w:val="none" w:sz="0" w:space="0" w:color="auto"/>
        <w:right w:val="none" w:sz="0" w:space="0" w:color="auto"/>
      </w:divBdr>
    </w:div>
    <w:div w:id="829446391">
      <w:bodyDiv w:val="1"/>
      <w:marLeft w:val="0"/>
      <w:marRight w:val="0"/>
      <w:marTop w:val="0"/>
      <w:marBottom w:val="0"/>
      <w:divBdr>
        <w:top w:val="none" w:sz="0" w:space="0" w:color="auto"/>
        <w:left w:val="none" w:sz="0" w:space="0" w:color="auto"/>
        <w:bottom w:val="none" w:sz="0" w:space="0" w:color="auto"/>
        <w:right w:val="none" w:sz="0" w:space="0" w:color="auto"/>
      </w:divBdr>
    </w:div>
    <w:div w:id="861280475">
      <w:bodyDiv w:val="1"/>
      <w:marLeft w:val="0"/>
      <w:marRight w:val="0"/>
      <w:marTop w:val="0"/>
      <w:marBottom w:val="0"/>
      <w:divBdr>
        <w:top w:val="none" w:sz="0" w:space="0" w:color="auto"/>
        <w:left w:val="none" w:sz="0" w:space="0" w:color="auto"/>
        <w:bottom w:val="none" w:sz="0" w:space="0" w:color="auto"/>
        <w:right w:val="none" w:sz="0" w:space="0" w:color="auto"/>
      </w:divBdr>
    </w:div>
    <w:div w:id="890506403">
      <w:bodyDiv w:val="1"/>
      <w:marLeft w:val="0"/>
      <w:marRight w:val="0"/>
      <w:marTop w:val="0"/>
      <w:marBottom w:val="0"/>
      <w:divBdr>
        <w:top w:val="none" w:sz="0" w:space="0" w:color="auto"/>
        <w:left w:val="none" w:sz="0" w:space="0" w:color="auto"/>
        <w:bottom w:val="none" w:sz="0" w:space="0" w:color="auto"/>
        <w:right w:val="none" w:sz="0" w:space="0" w:color="auto"/>
      </w:divBdr>
    </w:div>
    <w:div w:id="949749525">
      <w:bodyDiv w:val="1"/>
      <w:marLeft w:val="0"/>
      <w:marRight w:val="0"/>
      <w:marTop w:val="0"/>
      <w:marBottom w:val="0"/>
      <w:divBdr>
        <w:top w:val="none" w:sz="0" w:space="0" w:color="auto"/>
        <w:left w:val="none" w:sz="0" w:space="0" w:color="auto"/>
        <w:bottom w:val="none" w:sz="0" w:space="0" w:color="auto"/>
        <w:right w:val="none" w:sz="0" w:space="0" w:color="auto"/>
      </w:divBdr>
    </w:div>
    <w:div w:id="1017078246">
      <w:bodyDiv w:val="1"/>
      <w:marLeft w:val="0"/>
      <w:marRight w:val="0"/>
      <w:marTop w:val="0"/>
      <w:marBottom w:val="0"/>
      <w:divBdr>
        <w:top w:val="none" w:sz="0" w:space="0" w:color="auto"/>
        <w:left w:val="none" w:sz="0" w:space="0" w:color="auto"/>
        <w:bottom w:val="none" w:sz="0" w:space="0" w:color="auto"/>
        <w:right w:val="none" w:sz="0" w:space="0" w:color="auto"/>
      </w:divBdr>
    </w:div>
    <w:div w:id="1154369784">
      <w:bodyDiv w:val="1"/>
      <w:marLeft w:val="0"/>
      <w:marRight w:val="0"/>
      <w:marTop w:val="0"/>
      <w:marBottom w:val="0"/>
      <w:divBdr>
        <w:top w:val="none" w:sz="0" w:space="0" w:color="auto"/>
        <w:left w:val="none" w:sz="0" w:space="0" w:color="auto"/>
        <w:bottom w:val="none" w:sz="0" w:space="0" w:color="auto"/>
        <w:right w:val="none" w:sz="0" w:space="0" w:color="auto"/>
      </w:divBdr>
    </w:div>
    <w:div w:id="1309897902">
      <w:bodyDiv w:val="1"/>
      <w:marLeft w:val="0"/>
      <w:marRight w:val="0"/>
      <w:marTop w:val="0"/>
      <w:marBottom w:val="0"/>
      <w:divBdr>
        <w:top w:val="none" w:sz="0" w:space="0" w:color="auto"/>
        <w:left w:val="none" w:sz="0" w:space="0" w:color="auto"/>
        <w:bottom w:val="none" w:sz="0" w:space="0" w:color="auto"/>
        <w:right w:val="none" w:sz="0" w:space="0" w:color="auto"/>
      </w:divBdr>
    </w:div>
    <w:div w:id="1532379383">
      <w:bodyDiv w:val="1"/>
      <w:marLeft w:val="0"/>
      <w:marRight w:val="0"/>
      <w:marTop w:val="0"/>
      <w:marBottom w:val="0"/>
      <w:divBdr>
        <w:top w:val="none" w:sz="0" w:space="0" w:color="auto"/>
        <w:left w:val="none" w:sz="0" w:space="0" w:color="auto"/>
        <w:bottom w:val="none" w:sz="0" w:space="0" w:color="auto"/>
        <w:right w:val="none" w:sz="0" w:space="0" w:color="auto"/>
      </w:divBdr>
    </w:div>
    <w:div w:id="1535003392">
      <w:bodyDiv w:val="1"/>
      <w:marLeft w:val="0"/>
      <w:marRight w:val="0"/>
      <w:marTop w:val="0"/>
      <w:marBottom w:val="0"/>
      <w:divBdr>
        <w:top w:val="none" w:sz="0" w:space="0" w:color="auto"/>
        <w:left w:val="none" w:sz="0" w:space="0" w:color="auto"/>
        <w:bottom w:val="none" w:sz="0" w:space="0" w:color="auto"/>
        <w:right w:val="none" w:sz="0" w:space="0" w:color="auto"/>
      </w:divBdr>
    </w:div>
    <w:div w:id="1603024572">
      <w:bodyDiv w:val="1"/>
      <w:marLeft w:val="0"/>
      <w:marRight w:val="0"/>
      <w:marTop w:val="0"/>
      <w:marBottom w:val="0"/>
      <w:divBdr>
        <w:top w:val="none" w:sz="0" w:space="0" w:color="auto"/>
        <w:left w:val="none" w:sz="0" w:space="0" w:color="auto"/>
        <w:bottom w:val="none" w:sz="0" w:space="0" w:color="auto"/>
        <w:right w:val="none" w:sz="0" w:space="0" w:color="auto"/>
      </w:divBdr>
    </w:div>
    <w:div w:id="1927689269">
      <w:bodyDiv w:val="1"/>
      <w:marLeft w:val="0"/>
      <w:marRight w:val="0"/>
      <w:marTop w:val="0"/>
      <w:marBottom w:val="0"/>
      <w:divBdr>
        <w:top w:val="none" w:sz="0" w:space="0" w:color="auto"/>
        <w:left w:val="none" w:sz="0" w:space="0" w:color="auto"/>
        <w:bottom w:val="none" w:sz="0" w:space="0" w:color="auto"/>
        <w:right w:val="none" w:sz="0" w:space="0" w:color="auto"/>
      </w:divBdr>
    </w:div>
    <w:div w:id="19934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gouv.qc.ca/statistiques/profils/region_07/region_07_00.htm" TargetMode="External"/><Relationship Id="rId18" Type="http://schemas.openxmlformats.org/officeDocument/2006/relationships/hyperlink" Target="http://www.stat.gouv.qc.ca/statistiques/profils/profil07/societe/demographie/pers_demo/pers_demo07_mrc.htm" TargetMode="External"/><Relationship Id="rId26" Type="http://schemas.openxmlformats.org/officeDocument/2006/relationships/hyperlink" Target="http://www.stat.gouv.qc.ca/statistiques/profils/profil07/societe/demographie/pers_demo/pers_demo07_mrc.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tat.gouv.qc.ca/statistiques/profils/profil07/societe/demographie/pers_demo/pers_demo07_mrc.htm" TargetMode="External"/><Relationship Id="rId25" Type="http://schemas.openxmlformats.org/officeDocument/2006/relationships/hyperlink" Target="http://www.stat.gouv.qc.ca/statistiques/profils/profil07/societe/demographie/pers_demo/pers_demo07_mrc.htm" TargetMode="External"/><Relationship Id="rId33" Type="http://schemas.openxmlformats.org/officeDocument/2006/relationships/image" Target="media/image8.png"/><Relationship Id="rId38"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www.stat.gouv.qc.ca/statistiques/profils/profil07/societe/demographie/pers_demo/pers_demo07_mrc.htm" TargetMode="External"/><Relationship Id="rId20" Type="http://schemas.openxmlformats.org/officeDocument/2006/relationships/hyperlink" Target="http://www.stat.gouv.qc.ca/statistiques/profils/profil07/societe/demographie/pers_demo/pers_demo07_mrc.htm"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stat.gouv.qc.ca/statistiques/profils/profil07/societe/demographie/pers_demo/pers_demo07_mrc.htm" TargetMode="External"/><Relationship Id="rId32" Type="http://schemas.openxmlformats.org/officeDocument/2006/relationships/chart" Target="charts/chart4.xml"/><Relationship Id="rId37" Type="http://schemas.openxmlformats.org/officeDocument/2006/relationships/chart" Target="charts/chart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stat.gouv.qc.ca/statistiques/profils/profil07/societe/demographie/pers_demo/pers_demo07_mrc.htm" TargetMode="External"/><Relationship Id="rId28" Type="http://schemas.openxmlformats.org/officeDocument/2006/relationships/hyperlink" Target="http://www.stat.gouv.qc.ca/statistiques/profils/region_07/region_07_00.htm" TargetMode="External"/><Relationship Id="rId36" Type="http://schemas.openxmlformats.org/officeDocument/2006/relationships/image" Target="media/image11.png"/><Relationship Id="rId10" Type="http://schemas.openxmlformats.org/officeDocument/2006/relationships/hyperlink" Target="mailto:administration-tcaro@videotron.ca" TargetMode="External"/><Relationship Id="rId19" Type="http://schemas.openxmlformats.org/officeDocument/2006/relationships/hyperlink" Target="http://www.stat.gouv.qc.ca/statistiques/profils/profil07/societe/demographie/pers_demo/pers_demo07_mrc.ht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www.stat.gouv.qc.ca/statistiques/profils/profil07/societe/demographie/pers_demo/pers_demo07_mrc.htm" TargetMode="External"/><Relationship Id="rId27" Type="http://schemas.openxmlformats.org/officeDocument/2006/relationships/chart" Target="charts/chart3.xml"/><Relationship Id="rId30" Type="http://schemas.openxmlformats.org/officeDocument/2006/relationships/hyperlink" Target="http://www.stat.gouv.qc.ca/statistiques/profils/region_07/region_07_00.htm" TargetMode="External"/><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de_calcul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de_calcul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Feuille_de_calcul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dk1"/>
                </a:solidFill>
                <a:latin typeface="+mn-lt"/>
                <a:ea typeface="+mn-ea"/>
                <a:cs typeface="+mn-cs"/>
              </a:defRPr>
            </a:pPr>
            <a:r>
              <a:rPr lang="fr-CA" b="1">
                <a:latin typeface="Arial" panose="020B0604020202020204" pitchFamily="34" charset="0"/>
                <a:cs typeface="Arial" panose="020B0604020202020204" pitchFamily="34" charset="0"/>
              </a:rPr>
              <a:t>Nombre d'individus de 65 ans et plus selon le sexe, Outaouais, 2001 à 2015</a:t>
            </a:r>
          </a:p>
        </c:rich>
      </c:tx>
      <c:layout>
        <c:manualLayout>
          <c:xMode val="edge"/>
          <c:yMode val="edge"/>
          <c:x val="0.14163185331000291"/>
          <c:y val="2.3809523809523808E-2"/>
        </c:manualLayout>
      </c:layout>
      <c:overlay val="0"/>
      <c:spPr>
        <a:noFill/>
        <a:ln>
          <a:noFill/>
        </a:ln>
        <a:effectLst/>
      </c:spPr>
    </c:title>
    <c:autoTitleDeleted val="0"/>
    <c:plotArea>
      <c:layout>
        <c:manualLayout>
          <c:layoutTarget val="inner"/>
          <c:xMode val="edge"/>
          <c:yMode val="edge"/>
          <c:x val="8.0652096076832561E-2"/>
          <c:y val="0.11330615657991011"/>
          <c:w val="0.89833147289527293"/>
          <c:h val="0.7954232437784412"/>
        </c:manualLayout>
      </c:layout>
      <c:barChart>
        <c:barDir val="col"/>
        <c:grouping val="clustered"/>
        <c:varyColors val="0"/>
        <c:ser>
          <c:idx val="0"/>
          <c:order val="0"/>
          <c:tx>
            <c:strRef>
              <c:f>Feuil1!$B$1</c:f>
              <c:strCache>
                <c:ptCount val="1"/>
                <c:pt idx="0">
                  <c:v>Hommes 65 ans et plus</c:v>
                </c:pt>
              </c:strCache>
            </c:strRef>
          </c:tx>
          <c:spPr>
            <a:solidFill>
              <a:schemeClr val="accent1"/>
            </a:solidFill>
            <a:ln>
              <a:noFill/>
            </a:ln>
            <a:effectLst/>
          </c:spPr>
          <c:invertIfNegative val="0"/>
          <c:dLbls>
            <c:dLbl>
              <c:idx val="0"/>
              <c:layout>
                <c:manualLayout>
                  <c:x val="-1.3374092472296541E-2"/>
                  <c:y val="6.27155848228277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5284677111196026E-2"/>
                  <c:y val="4.181038988188488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284677111196026E-2"/>
                  <c:y val="4.181038988188488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284677111196026E-2"/>
                  <c:y val="4.181038988188564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374092472296522E-2"/>
                  <c:y val="2.09051949409428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5284677111196167E-2"/>
                  <c:y val="4.181038988188526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5284677111196167E-2"/>
                  <c:y val="-2.09051949409428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3374092472296662E-2"/>
                  <c:y val="6.271558482282809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Feuil1!$A$2:$A$9</c:f>
              <c:numCache>
                <c:formatCode>General</c:formatCode>
                <c:ptCount val="8"/>
                <c:pt idx="0">
                  <c:v>2001</c:v>
                </c:pt>
                <c:pt idx="1">
                  <c:v>2006</c:v>
                </c:pt>
                <c:pt idx="2">
                  <c:v>2010</c:v>
                </c:pt>
                <c:pt idx="3">
                  <c:v>2011</c:v>
                </c:pt>
                <c:pt idx="4">
                  <c:v>2012</c:v>
                </c:pt>
                <c:pt idx="5">
                  <c:v>2013</c:v>
                </c:pt>
                <c:pt idx="6">
                  <c:v>2014</c:v>
                </c:pt>
                <c:pt idx="7">
                  <c:v>2015</c:v>
                </c:pt>
              </c:numCache>
            </c:numRef>
          </c:cat>
          <c:val>
            <c:numRef>
              <c:f>Feuil1!$B$2:$B$9</c:f>
              <c:numCache>
                <c:formatCode>#,##0</c:formatCode>
                <c:ptCount val="8"/>
                <c:pt idx="0">
                  <c:v>14135</c:v>
                </c:pt>
                <c:pt idx="1">
                  <c:v>16838</c:v>
                </c:pt>
                <c:pt idx="2">
                  <c:v>20199</c:v>
                </c:pt>
                <c:pt idx="3">
                  <c:v>21214</c:v>
                </c:pt>
                <c:pt idx="4">
                  <c:v>22587</c:v>
                </c:pt>
                <c:pt idx="5">
                  <c:v>23890</c:v>
                </c:pt>
                <c:pt idx="6">
                  <c:v>25123</c:v>
                </c:pt>
                <c:pt idx="7">
                  <c:v>26053</c:v>
                </c:pt>
              </c:numCache>
            </c:numRef>
          </c:val>
        </c:ser>
        <c:ser>
          <c:idx val="1"/>
          <c:order val="1"/>
          <c:tx>
            <c:strRef>
              <c:f>Feuil1!$C$1</c:f>
              <c:strCache>
                <c:ptCount val="1"/>
                <c:pt idx="0">
                  <c:v>Femmes 65 ans et plus</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Feuil1!$A$2:$A$9</c:f>
              <c:numCache>
                <c:formatCode>General</c:formatCode>
                <c:ptCount val="8"/>
                <c:pt idx="0">
                  <c:v>2001</c:v>
                </c:pt>
                <c:pt idx="1">
                  <c:v>2006</c:v>
                </c:pt>
                <c:pt idx="2">
                  <c:v>2010</c:v>
                </c:pt>
                <c:pt idx="3">
                  <c:v>2011</c:v>
                </c:pt>
                <c:pt idx="4">
                  <c:v>2012</c:v>
                </c:pt>
                <c:pt idx="5">
                  <c:v>2013</c:v>
                </c:pt>
                <c:pt idx="6">
                  <c:v>2014</c:v>
                </c:pt>
                <c:pt idx="7">
                  <c:v>2015</c:v>
                </c:pt>
              </c:numCache>
            </c:numRef>
          </c:cat>
          <c:val>
            <c:numRef>
              <c:f>Feuil1!$C$2:$C$9</c:f>
              <c:numCache>
                <c:formatCode>#,##0</c:formatCode>
                <c:ptCount val="8"/>
                <c:pt idx="0">
                  <c:v>18580</c:v>
                </c:pt>
                <c:pt idx="1">
                  <c:v>20983</c:v>
                </c:pt>
                <c:pt idx="2">
                  <c:v>24888</c:v>
                </c:pt>
                <c:pt idx="3">
                  <c:v>26028</c:v>
                </c:pt>
                <c:pt idx="4">
                  <c:v>27267</c:v>
                </c:pt>
                <c:pt idx="5">
                  <c:v>28499</c:v>
                </c:pt>
                <c:pt idx="6">
                  <c:v>29748</c:v>
                </c:pt>
                <c:pt idx="7">
                  <c:v>30582</c:v>
                </c:pt>
              </c:numCache>
            </c:numRef>
          </c:val>
        </c:ser>
        <c:dLbls>
          <c:showLegendKey val="0"/>
          <c:showVal val="0"/>
          <c:showCatName val="0"/>
          <c:showSerName val="0"/>
          <c:showPercent val="0"/>
          <c:showBubbleSize val="0"/>
        </c:dLbls>
        <c:gapWidth val="219"/>
        <c:overlap val="-27"/>
        <c:axId val="340239232"/>
        <c:axId val="340238840"/>
        <c:extLst>
          <c:ext xmlns:c15="http://schemas.microsoft.com/office/drawing/2012/chart" uri="{02D57815-91ED-43cb-92C2-25804820EDAC}">
            <c15:filteredBarSeries>
              <c15:ser>
                <c:idx val="2"/>
                <c:order val="2"/>
                <c:tx>
                  <c:strRef>
                    <c:extLst>
                      <c:ext uri="{02D57815-91ED-43cb-92C2-25804820EDAC}">
                        <c15:formulaRef>
                          <c15:sqref>Feuil1!$D$1</c15:sqref>
                        </c15:formulaRef>
                      </c:ext>
                    </c:extLst>
                    <c:strCache>
                      <c:ptCount val="1"/>
                      <c:pt idx="0">
                        <c:v>Colonne6</c:v>
                      </c:pt>
                    </c:strCache>
                  </c:strRef>
                </c:tx>
                <c:spPr>
                  <a:solidFill>
                    <a:schemeClr val="accent3"/>
                  </a:solidFill>
                  <a:ln>
                    <a:noFill/>
                  </a:ln>
                  <a:effectLst/>
                </c:spPr>
                <c:invertIfNegative val="0"/>
                <c:cat>
                  <c:numRef>
                    <c:extLst>
                      <c:ext uri="{02D57815-91ED-43cb-92C2-25804820EDAC}">
                        <c15:formulaRef>
                          <c15:sqref>Feuil1!$A$2:$A$9</c15:sqref>
                        </c15:formulaRef>
                      </c:ext>
                    </c:extLst>
                    <c:numCache>
                      <c:formatCode>General</c:formatCode>
                      <c:ptCount val="8"/>
                      <c:pt idx="0">
                        <c:v>2001</c:v>
                      </c:pt>
                      <c:pt idx="1">
                        <c:v>2006</c:v>
                      </c:pt>
                      <c:pt idx="2">
                        <c:v>2010</c:v>
                      </c:pt>
                      <c:pt idx="3">
                        <c:v>2011</c:v>
                      </c:pt>
                      <c:pt idx="4">
                        <c:v>2012</c:v>
                      </c:pt>
                      <c:pt idx="5">
                        <c:v>2013</c:v>
                      </c:pt>
                      <c:pt idx="6">
                        <c:v>2014</c:v>
                      </c:pt>
                      <c:pt idx="7">
                        <c:v>2015</c:v>
                      </c:pt>
                    </c:numCache>
                  </c:numRef>
                </c:cat>
                <c:val>
                  <c:numRef>
                    <c:extLst>
                      <c:ext uri="{02D57815-91ED-43cb-92C2-25804820EDAC}">
                        <c15:formulaRef>
                          <c15:sqref>Feuil1!$D$2:$D$9</c15:sqref>
                        </c15:formulaRef>
                      </c:ext>
                    </c:extLst>
                    <c:numCache>
                      <c:formatCode>General</c:formatCode>
                      <c:ptCount val="8"/>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Feuil1!$E$1</c15:sqref>
                        </c15:formulaRef>
                      </c:ext>
                    </c:extLst>
                    <c:strCache>
                      <c:ptCount val="1"/>
                      <c:pt idx="0">
                        <c:v>Colonne5</c:v>
                      </c:pt>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Feuil1!$A$2:$A$9</c15:sqref>
                        </c15:formulaRef>
                      </c:ext>
                    </c:extLst>
                    <c:numCache>
                      <c:formatCode>General</c:formatCode>
                      <c:ptCount val="8"/>
                      <c:pt idx="0">
                        <c:v>2001</c:v>
                      </c:pt>
                      <c:pt idx="1">
                        <c:v>2006</c:v>
                      </c:pt>
                      <c:pt idx="2">
                        <c:v>2010</c:v>
                      </c:pt>
                      <c:pt idx="3">
                        <c:v>2011</c:v>
                      </c:pt>
                      <c:pt idx="4">
                        <c:v>2012</c:v>
                      </c:pt>
                      <c:pt idx="5">
                        <c:v>2013</c:v>
                      </c:pt>
                      <c:pt idx="6">
                        <c:v>2014</c:v>
                      </c:pt>
                      <c:pt idx="7">
                        <c:v>2015</c:v>
                      </c:pt>
                    </c:numCache>
                  </c:numRef>
                </c:cat>
                <c:val>
                  <c:numRef>
                    <c:extLst xmlns:c15="http://schemas.microsoft.com/office/drawing/2012/chart">
                      <c:ext xmlns:c15="http://schemas.microsoft.com/office/drawing/2012/chart" uri="{02D57815-91ED-43cb-92C2-25804820EDAC}">
                        <c15:formulaRef>
                          <c15:sqref>Feuil1!$E$2:$E$9</c15:sqref>
                        </c15:formulaRef>
                      </c:ext>
                    </c:extLst>
                    <c:numCache>
                      <c:formatCode>General</c:formatCode>
                      <c:ptCount val="8"/>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Feuil1!$F$1</c15:sqref>
                        </c15:formulaRef>
                      </c:ext>
                    </c:extLst>
                    <c:strCache>
                      <c:ptCount val="1"/>
                      <c:pt idx="0">
                        <c:v>Colonne4</c:v>
                      </c:pt>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Feuil1!$A$2:$A$9</c15:sqref>
                        </c15:formulaRef>
                      </c:ext>
                    </c:extLst>
                    <c:numCache>
                      <c:formatCode>General</c:formatCode>
                      <c:ptCount val="8"/>
                      <c:pt idx="0">
                        <c:v>2001</c:v>
                      </c:pt>
                      <c:pt idx="1">
                        <c:v>2006</c:v>
                      </c:pt>
                      <c:pt idx="2">
                        <c:v>2010</c:v>
                      </c:pt>
                      <c:pt idx="3">
                        <c:v>2011</c:v>
                      </c:pt>
                      <c:pt idx="4">
                        <c:v>2012</c:v>
                      </c:pt>
                      <c:pt idx="5">
                        <c:v>2013</c:v>
                      </c:pt>
                      <c:pt idx="6">
                        <c:v>2014</c:v>
                      </c:pt>
                      <c:pt idx="7">
                        <c:v>2015</c:v>
                      </c:pt>
                    </c:numCache>
                  </c:numRef>
                </c:cat>
                <c:val>
                  <c:numRef>
                    <c:extLst xmlns:c15="http://schemas.microsoft.com/office/drawing/2012/chart">
                      <c:ext xmlns:c15="http://schemas.microsoft.com/office/drawing/2012/chart" uri="{02D57815-91ED-43cb-92C2-25804820EDAC}">
                        <c15:formulaRef>
                          <c15:sqref>Feuil1!$F$2:$F$9</c15:sqref>
                        </c15:formulaRef>
                      </c:ext>
                    </c:extLst>
                    <c:numCache>
                      <c:formatCode>General</c:formatCode>
                      <c:ptCount val="8"/>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Feuil1!$G$1</c15:sqref>
                        </c15:formulaRef>
                      </c:ext>
                    </c:extLst>
                    <c:strCache>
                      <c:ptCount val="1"/>
                      <c:pt idx="0">
                        <c:v>Colonne3</c:v>
                      </c:pt>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Feuil1!$A$2:$A$9</c15:sqref>
                        </c15:formulaRef>
                      </c:ext>
                    </c:extLst>
                    <c:numCache>
                      <c:formatCode>General</c:formatCode>
                      <c:ptCount val="8"/>
                      <c:pt idx="0">
                        <c:v>2001</c:v>
                      </c:pt>
                      <c:pt idx="1">
                        <c:v>2006</c:v>
                      </c:pt>
                      <c:pt idx="2">
                        <c:v>2010</c:v>
                      </c:pt>
                      <c:pt idx="3">
                        <c:v>2011</c:v>
                      </c:pt>
                      <c:pt idx="4">
                        <c:v>2012</c:v>
                      </c:pt>
                      <c:pt idx="5">
                        <c:v>2013</c:v>
                      </c:pt>
                      <c:pt idx="6">
                        <c:v>2014</c:v>
                      </c:pt>
                      <c:pt idx="7">
                        <c:v>2015</c:v>
                      </c:pt>
                    </c:numCache>
                  </c:numRef>
                </c:cat>
                <c:val>
                  <c:numRef>
                    <c:extLst xmlns:c15="http://schemas.microsoft.com/office/drawing/2012/chart">
                      <c:ext xmlns:c15="http://schemas.microsoft.com/office/drawing/2012/chart" uri="{02D57815-91ED-43cb-92C2-25804820EDAC}">
                        <c15:formulaRef>
                          <c15:sqref>Feuil1!$G$2:$G$9</c15:sqref>
                        </c15:formulaRef>
                      </c:ext>
                    </c:extLst>
                    <c:numCache>
                      <c:formatCode>General</c:formatCode>
                      <c:ptCount val="8"/>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Feuil1!$H$1</c15:sqref>
                        </c15:formulaRef>
                      </c:ext>
                    </c:extLst>
                    <c:strCache>
                      <c:ptCount val="1"/>
                      <c:pt idx="0">
                        <c:v>Colonne2</c:v>
                      </c:pt>
                    </c:strCache>
                  </c:strRef>
                </c:tx>
                <c:spPr>
                  <a:solidFill>
                    <a:schemeClr val="accent1">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Feuil1!$A$2:$A$9</c15:sqref>
                        </c15:formulaRef>
                      </c:ext>
                    </c:extLst>
                    <c:numCache>
                      <c:formatCode>General</c:formatCode>
                      <c:ptCount val="8"/>
                      <c:pt idx="0">
                        <c:v>2001</c:v>
                      </c:pt>
                      <c:pt idx="1">
                        <c:v>2006</c:v>
                      </c:pt>
                      <c:pt idx="2">
                        <c:v>2010</c:v>
                      </c:pt>
                      <c:pt idx="3">
                        <c:v>2011</c:v>
                      </c:pt>
                      <c:pt idx="4">
                        <c:v>2012</c:v>
                      </c:pt>
                      <c:pt idx="5">
                        <c:v>2013</c:v>
                      </c:pt>
                      <c:pt idx="6">
                        <c:v>2014</c:v>
                      </c:pt>
                      <c:pt idx="7">
                        <c:v>2015</c:v>
                      </c:pt>
                    </c:numCache>
                  </c:numRef>
                </c:cat>
                <c:val>
                  <c:numRef>
                    <c:extLst xmlns:c15="http://schemas.microsoft.com/office/drawing/2012/chart">
                      <c:ext xmlns:c15="http://schemas.microsoft.com/office/drawing/2012/chart" uri="{02D57815-91ED-43cb-92C2-25804820EDAC}">
                        <c15:formulaRef>
                          <c15:sqref>Feuil1!$H$2:$H$9</c15:sqref>
                        </c15:formulaRef>
                      </c:ext>
                    </c:extLst>
                    <c:numCache>
                      <c:formatCode>General</c:formatCode>
                      <c:ptCount val="8"/>
                    </c:numCache>
                  </c:numRef>
                </c:val>
              </c15:ser>
            </c15:filteredBarSeries>
            <c15:filteredBarSeries>
              <c15:ser>
                <c:idx val="7"/>
                <c:order val="7"/>
                <c:tx>
                  <c:strRef>
                    <c:extLst xmlns:c15="http://schemas.microsoft.com/office/drawing/2012/chart">
                      <c:ext xmlns:c15="http://schemas.microsoft.com/office/drawing/2012/chart" uri="{02D57815-91ED-43cb-92C2-25804820EDAC}">
                        <c15:formulaRef>
                          <c15:sqref>Feuil1!$I$1</c15:sqref>
                        </c15:formulaRef>
                      </c:ext>
                    </c:extLst>
                    <c:strCache>
                      <c:ptCount val="1"/>
                      <c:pt idx="0">
                        <c:v>Colonne1</c:v>
                      </c:pt>
                    </c:strCache>
                  </c:strRef>
                </c:tx>
                <c:spPr>
                  <a:solidFill>
                    <a:schemeClr val="accent2">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Feuil1!$A$2:$A$9</c15:sqref>
                        </c15:formulaRef>
                      </c:ext>
                    </c:extLst>
                    <c:numCache>
                      <c:formatCode>General</c:formatCode>
                      <c:ptCount val="8"/>
                      <c:pt idx="0">
                        <c:v>2001</c:v>
                      </c:pt>
                      <c:pt idx="1">
                        <c:v>2006</c:v>
                      </c:pt>
                      <c:pt idx="2">
                        <c:v>2010</c:v>
                      </c:pt>
                      <c:pt idx="3">
                        <c:v>2011</c:v>
                      </c:pt>
                      <c:pt idx="4">
                        <c:v>2012</c:v>
                      </c:pt>
                      <c:pt idx="5">
                        <c:v>2013</c:v>
                      </c:pt>
                      <c:pt idx="6">
                        <c:v>2014</c:v>
                      </c:pt>
                      <c:pt idx="7">
                        <c:v>2015</c:v>
                      </c:pt>
                    </c:numCache>
                  </c:numRef>
                </c:cat>
                <c:val>
                  <c:numRef>
                    <c:extLst xmlns:c15="http://schemas.microsoft.com/office/drawing/2012/chart">
                      <c:ext xmlns:c15="http://schemas.microsoft.com/office/drawing/2012/chart" uri="{02D57815-91ED-43cb-92C2-25804820EDAC}">
                        <c15:formulaRef>
                          <c15:sqref>Feuil1!$I$2:$I$9</c15:sqref>
                        </c15:formulaRef>
                      </c:ext>
                    </c:extLst>
                    <c:numCache>
                      <c:formatCode>General</c:formatCode>
                      <c:ptCount val="8"/>
                    </c:numCache>
                  </c:numRef>
                </c:val>
              </c15:ser>
            </c15:filteredBarSeries>
          </c:ext>
        </c:extLst>
      </c:barChart>
      <c:catAx>
        <c:axId val="3402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40238840"/>
        <c:crosses val="autoZero"/>
        <c:auto val="1"/>
        <c:lblAlgn val="ctr"/>
        <c:lblOffset val="100"/>
        <c:noMultiLvlLbl val="0"/>
      </c:catAx>
      <c:valAx>
        <c:axId val="340238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340239232"/>
        <c:crosses val="autoZero"/>
        <c:crossBetween val="between"/>
      </c:valAx>
      <c:spPr>
        <a:noFill/>
        <a:ln>
          <a:noFill/>
        </a:ln>
        <a:effectLst/>
      </c:spPr>
    </c:plotArea>
    <c:legend>
      <c:legendPos val="b"/>
      <c:layout>
        <c:manualLayout>
          <c:xMode val="edge"/>
          <c:yMode val="edge"/>
          <c:x val="2.2974257178710069E-2"/>
          <c:y val="0.95011191389689065"/>
          <c:w val="0.88000765529308833"/>
          <c:h val="4.07581248003011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22225" cap="rnd"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fr-CA" sz="1400">
                <a:latin typeface="Arial" panose="020B0604020202020204" pitchFamily="34" charset="0"/>
                <a:cs typeface="Arial" panose="020B0604020202020204" pitchFamily="34" charset="0"/>
              </a:rPr>
              <a:t>Perspectives démographiques en Outaouais selon l'âge, 2011 à 2036</a:t>
            </a:r>
          </a:p>
        </c:rich>
      </c:tx>
      <c:overlay val="0"/>
      <c:spPr>
        <a:noFill/>
        <a:ln>
          <a:noFill/>
        </a:ln>
        <a:effectLst/>
      </c:spPr>
    </c:title>
    <c:autoTitleDeleted val="0"/>
    <c:plotArea>
      <c:layout/>
      <c:barChart>
        <c:barDir val="col"/>
        <c:grouping val="clustered"/>
        <c:varyColors val="0"/>
        <c:ser>
          <c:idx val="0"/>
          <c:order val="0"/>
          <c:tx>
            <c:strRef>
              <c:f>Feuil1!$B$1</c:f>
              <c:strCache>
                <c:ptCount val="1"/>
                <c:pt idx="0">
                  <c:v>65 à 74 ans</c:v>
                </c:pt>
              </c:strCache>
            </c:strRef>
          </c:tx>
          <c:spPr>
            <a:solidFill>
              <a:schemeClr val="accent1"/>
            </a:solidFill>
            <a:ln>
              <a:noFill/>
            </a:ln>
            <a:effectLst/>
          </c:spPr>
          <c:invertIfNegative val="0"/>
          <c:dLbls>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Feuil1!$A$2:$A$7</c:f>
              <c:numCache>
                <c:formatCode>General</c:formatCode>
                <c:ptCount val="6"/>
                <c:pt idx="0">
                  <c:v>2011</c:v>
                </c:pt>
                <c:pt idx="1">
                  <c:v>2016</c:v>
                </c:pt>
                <c:pt idx="2">
                  <c:v>2021</c:v>
                </c:pt>
                <c:pt idx="3">
                  <c:v>2026</c:v>
                </c:pt>
                <c:pt idx="4">
                  <c:v>2031</c:v>
                </c:pt>
                <c:pt idx="5">
                  <c:v>2036</c:v>
                </c:pt>
              </c:numCache>
            </c:numRef>
          </c:cat>
          <c:val>
            <c:numRef>
              <c:f>Feuil1!$B$2:$B$7</c:f>
              <c:numCache>
                <c:formatCode>#,##0</c:formatCode>
                <c:ptCount val="6"/>
                <c:pt idx="0">
                  <c:v>17887</c:v>
                </c:pt>
                <c:pt idx="1">
                  <c:v>23416</c:v>
                </c:pt>
                <c:pt idx="2">
                  <c:v>28384</c:v>
                </c:pt>
                <c:pt idx="3">
                  <c:v>33203</c:v>
                </c:pt>
                <c:pt idx="4">
                  <c:v>35924</c:v>
                </c:pt>
                <c:pt idx="5">
                  <c:v>33601</c:v>
                </c:pt>
              </c:numCache>
            </c:numRef>
          </c:val>
        </c:ser>
        <c:ser>
          <c:idx val="1"/>
          <c:order val="1"/>
          <c:tx>
            <c:strRef>
              <c:f>Feuil1!$C$1</c:f>
              <c:strCache>
                <c:ptCount val="1"/>
                <c:pt idx="0">
                  <c:v>75 à 84 ans</c:v>
                </c:pt>
              </c:strCache>
            </c:strRef>
          </c:tx>
          <c:spPr>
            <a:solidFill>
              <a:schemeClr val="accent2"/>
            </a:solidFill>
            <a:ln>
              <a:noFill/>
            </a:ln>
            <a:effectLst/>
          </c:spPr>
          <c:invertIfNegative val="0"/>
          <c:dLbls>
            <c:dLbl>
              <c:idx val="0"/>
              <c:layout>
                <c:manualLayout>
                  <c:x val="1.6203703703703703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3.968253968254040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518518518518434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1296296296296292E-2"/>
                      <c:h val="4.7738095238095239E-2"/>
                    </c:manualLayout>
                  </c15:layout>
                </c:ext>
              </c:extLst>
            </c:dLbl>
            <c:dLbl>
              <c:idx val="4"/>
              <c:layout>
                <c:manualLayout>
                  <c:x val="1.620370370370379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9675925925925757E-2"/>
                  <c:y val="7.9365131371477767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8.8981481481481481E-2"/>
                      <c:h val="5.5674603174603175E-2"/>
                    </c:manualLayout>
                  </c15:layout>
                </c:ext>
              </c:extLst>
            </c:dLbl>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Feuil1!$A$2:$A$7</c:f>
              <c:numCache>
                <c:formatCode>General</c:formatCode>
                <c:ptCount val="6"/>
                <c:pt idx="0">
                  <c:v>2011</c:v>
                </c:pt>
                <c:pt idx="1">
                  <c:v>2016</c:v>
                </c:pt>
                <c:pt idx="2">
                  <c:v>2021</c:v>
                </c:pt>
                <c:pt idx="3">
                  <c:v>2026</c:v>
                </c:pt>
                <c:pt idx="4">
                  <c:v>2031</c:v>
                </c:pt>
                <c:pt idx="5">
                  <c:v>2036</c:v>
                </c:pt>
              </c:numCache>
            </c:numRef>
          </c:cat>
          <c:val>
            <c:numRef>
              <c:f>Feuil1!$C$2:$C$7</c:f>
              <c:numCache>
                <c:formatCode>#,##0</c:formatCode>
                <c:ptCount val="6"/>
                <c:pt idx="0">
                  <c:v>9387</c:v>
                </c:pt>
                <c:pt idx="1">
                  <c:v>10813</c:v>
                </c:pt>
                <c:pt idx="2">
                  <c:v>14265</c:v>
                </c:pt>
                <c:pt idx="3">
                  <c:v>19026</c:v>
                </c:pt>
                <c:pt idx="4">
                  <c:v>23428</c:v>
                </c:pt>
                <c:pt idx="5">
                  <c:v>27912</c:v>
                </c:pt>
              </c:numCache>
            </c:numRef>
          </c:val>
        </c:ser>
        <c:ser>
          <c:idx val="2"/>
          <c:order val="2"/>
          <c:tx>
            <c:strRef>
              <c:f>Feuil1!$D$1</c:f>
              <c:strCache>
                <c:ptCount val="1"/>
                <c:pt idx="0">
                  <c:v>85 ans et plus</c:v>
                </c:pt>
              </c:strCache>
            </c:strRef>
          </c:tx>
          <c:spPr>
            <a:solidFill>
              <a:schemeClr val="accent3"/>
            </a:solidFill>
            <a:ln>
              <a:noFill/>
            </a:ln>
            <a:effectLst/>
          </c:spPr>
          <c:invertIfNegative val="0"/>
          <c:dLbls>
            <c:dLbl>
              <c:idx val="0"/>
              <c:layout>
                <c:manualLayout>
                  <c:x val="1.6203703703703703E-2"/>
                  <c:y val="3.968253968253823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661E-2"/>
                  <c:y val="1.5623047119110112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8.206018518518518E-2"/>
                      <c:h val="5.17063492063492E-2"/>
                    </c:manualLayout>
                  </c15:layout>
                </c:ext>
              </c:extLst>
            </c:dLbl>
            <c:dLbl>
              <c:idx val="2"/>
              <c:layout>
                <c:manualLayout>
                  <c:x val="1.2731481481481479E-2"/>
                  <c:y val="0"/>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7.7430555555555558E-2"/>
                      <c:h val="5.5674603174603175E-2"/>
                    </c:manualLayout>
                  </c15:layout>
                </c:ext>
              </c:extLst>
            </c:dLbl>
            <c:dLbl>
              <c:idx val="3"/>
              <c:layout>
                <c:manualLayout>
                  <c:x val="1.3888888888888888E-2"/>
                  <c:y val="-1.4550096466308564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73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9.2592592592592587E-3"/>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Feuil1!$A$2:$A$7</c:f>
              <c:numCache>
                <c:formatCode>General</c:formatCode>
                <c:ptCount val="6"/>
                <c:pt idx="0">
                  <c:v>2011</c:v>
                </c:pt>
                <c:pt idx="1">
                  <c:v>2016</c:v>
                </c:pt>
                <c:pt idx="2">
                  <c:v>2021</c:v>
                </c:pt>
                <c:pt idx="3">
                  <c:v>2026</c:v>
                </c:pt>
                <c:pt idx="4">
                  <c:v>2031</c:v>
                </c:pt>
                <c:pt idx="5">
                  <c:v>2036</c:v>
                </c:pt>
              </c:numCache>
            </c:numRef>
          </c:cat>
          <c:val>
            <c:numRef>
              <c:f>Feuil1!$D$2:$D$7</c:f>
              <c:numCache>
                <c:formatCode>#,##0</c:formatCode>
                <c:ptCount val="6"/>
                <c:pt idx="0">
                  <c:v>2512</c:v>
                </c:pt>
                <c:pt idx="1">
                  <c:v>3348</c:v>
                </c:pt>
                <c:pt idx="2">
                  <c:v>4009</c:v>
                </c:pt>
                <c:pt idx="3">
                  <c:v>5015</c:v>
                </c:pt>
                <c:pt idx="4">
                  <c:v>6952</c:v>
                </c:pt>
                <c:pt idx="5">
                  <c:v>9543</c:v>
                </c:pt>
              </c:numCache>
            </c:numRef>
          </c:val>
        </c:ser>
        <c:dLbls>
          <c:dLblPos val="outEnd"/>
          <c:showLegendKey val="0"/>
          <c:showVal val="1"/>
          <c:showCatName val="0"/>
          <c:showSerName val="0"/>
          <c:showPercent val="0"/>
          <c:showBubbleSize val="0"/>
        </c:dLbls>
        <c:gapWidth val="219"/>
        <c:overlap val="-27"/>
        <c:axId val="258185264"/>
        <c:axId val="340243544"/>
      </c:barChart>
      <c:catAx>
        <c:axId val="25818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40243544"/>
        <c:crosses val="autoZero"/>
        <c:auto val="1"/>
        <c:lblAlgn val="ctr"/>
        <c:lblOffset val="100"/>
        <c:noMultiLvlLbl val="0"/>
      </c:catAx>
      <c:valAx>
        <c:axId val="340243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latin typeface="Arial" panose="020B0604020202020204" pitchFamily="34" charset="0"/>
                <a:cs typeface="Arial" panose="020B0604020202020204" pitchFamily="34" charset="0"/>
              </a:defRPr>
            </a:pPr>
            <a:endParaRPr lang="en-US"/>
          </a:p>
        </c:txPr>
        <c:crossAx val="258185264"/>
        <c:crosses val="autoZero"/>
        <c:crossBetween val="between"/>
      </c:valAx>
      <c:spPr>
        <a:noFill/>
        <a:ln>
          <a:noFill/>
        </a:ln>
        <a:effectLst/>
      </c:spPr>
    </c:plotArea>
    <c:legend>
      <c:legendPos val="b"/>
      <c:layout>
        <c:manualLayout>
          <c:xMode val="edge"/>
          <c:yMode val="edge"/>
          <c:x val="0.24338327500729076"/>
          <c:y val="0.9540510986059868"/>
          <c:w val="0.51323326771653544"/>
          <c:h val="3.4562940113085056E-2"/>
        </c:manualLayout>
      </c:layout>
      <c:overlay val="0"/>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solidFill>
      <a:sysClr val="window" lastClr="FFFFFF"/>
    </a:solidFill>
    <a:ln w="22225" cap="rnd"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400">
                <a:latin typeface="Arial" panose="020B0604020202020204" pitchFamily="34" charset="0"/>
                <a:cs typeface="Arial" panose="020B0604020202020204" pitchFamily="34" charset="0"/>
              </a:rPr>
              <a:t>Nombre d'habitants au Québec selon l'âge, 2015</a:t>
            </a:r>
          </a:p>
        </c:rich>
      </c:tx>
      <c:overlay val="0"/>
      <c:spPr>
        <a:noFill/>
        <a:ln>
          <a:noFill/>
        </a:ln>
        <a:effectLst/>
      </c:spPr>
    </c:title>
    <c:autoTitleDeleted val="0"/>
    <c:plotArea>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7.4285912475847204E-2"/>
                  <c:y val="7.5019480696400841E-3"/>
                </c:manualLayout>
              </c:layout>
              <c:tx>
                <c:rich>
                  <a:bodyPr/>
                  <a:lstStyle/>
                  <a:p>
                    <a:fld id="{A3AE83E8-C1D2-4D34-8F72-9EC772F26E84}" type="VALUE">
                      <a:rPr lang="en-US" b="0">
                        <a:solidFill>
                          <a:sysClr val="windowText" lastClr="000000"/>
                        </a:solidFill>
                      </a:rPr>
                      <a:pPr/>
                      <a:t>[VALEUR]</a:t>
                    </a:fld>
                    <a:endParaRPr lang="en-US" b="0">
                      <a:solidFill>
                        <a:sysClr val="windowText" lastClr="000000"/>
                      </a:solidFill>
                    </a:endParaRPr>
                  </a:p>
                  <a:p>
                    <a:r>
                      <a:rPr lang="en-US" b="0">
                        <a:solidFill>
                          <a:sysClr val="windowText" lastClr="000000"/>
                        </a:solidFill>
                      </a:rPr>
                      <a:t>39,55%</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0168405546037938"/>
                  <c:y val="-0.14320682233059967"/>
                </c:manualLayout>
              </c:layout>
              <c:tx>
                <c:rich>
                  <a:bodyPr/>
                  <a:lstStyle/>
                  <a:p>
                    <a:fld id="{3D684060-D6D0-4A37-A0AC-FBDA05DB4F1B}" type="VALUE">
                      <a:rPr lang="en-US"/>
                      <a:pPr/>
                      <a:t>[VALEUR]</a:t>
                    </a:fld>
                    <a:endParaRPr lang="en-US"/>
                  </a:p>
                  <a:p>
                    <a:r>
                      <a:rPr lang="en-US"/>
                      <a:t>24,20%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5763501989766912"/>
                      <c:h val="0.18992267398353707"/>
                    </c:manualLayout>
                  </c15:layout>
                  <c15:dlblFieldTable/>
                  <c15:showDataLabelsRange val="0"/>
                </c:ext>
              </c:extLst>
            </c:dLbl>
            <c:dLbl>
              <c:idx val="2"/>
              <c:layout>
                <c:manualLayout>
                  <c:x val="-0.12474907108154311"/>
                  <c:y val="5.141399885567937E-2"/>
                </c:manualLayout>
              </c:layout>
              <c:tx>
                <c:rich>
                  <a:bodyPr/>
                  <a:lstStyle/>
                  <a:p>
                    <a:fld id="{6D31DDE8-AD78-4687-963B-62937111B588}" type="VALUE">
                      <a:rPr lang="en-US"/>
                      <a:pPr/>
                      <a:t>[VALEUR]</a:t>
                    </a:fld>
                    <a:endParaRPr lang="en-US"/>
                  </a:p>
                  <a:p>
                    <a:r>
                      <a:rPr lang="en-US"/>
                      <a:t>17,58%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4661952175417042"/>
                      <c:h val="0.12506857750047681"/>
                    </c:manualLayout>
                  </c15:layout>
                  <c15:dlblFieldTable/>
                  <c15:showDataLabelsRange val="0"/>
                </c:ext>
              </c:extLst>
            </c:dLbl>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3"/>
                <c:pt idx="0">
                  <c:v>50 ans et plus</c:v>
                </c:pt>
                <c:pt idx="1">
                  <c:v>60 ans et plus </c:v>
                </c:pt>
                <c:pt idx="2">
                  <c:v>65 ans et plus</c:v>
                </c:pt>
              </c:strCache>
            </c:strRef>
          </c:cat>
          <c:val>
            <c:numRef>
              <c:f>Feuil1!$B$2:$B$5</c:f>
              <c:numCache>
                <c:formatCode>#,##0</c:formatCode>
                <c:ptCount val="4"/>
                <c:pt idx="0">
                  <c:v>3267844</c:v>
                </c:pt>
                <c:pt idx="1">
                  <c:v>2000034</c:v>
                </c:pt>
                <c:pt idx="2">
                  <c:v>1452515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solidFill>
      <a:sysClr val="window" lastClr="FFFFFF"/>
    </a:solidFill>
    <a:ln w="22225" cap="rnd"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A" b="1">
                <a:solidFill>
                  <a:sysClr val="windowText" lastClr="000000"/>
                </a:solidFill>
                <a:latin typeface="Arial" panose="020B0604020202020204" pitchFamily="34" charset="0"/>
                <a:cs typeface="Arial" panose="020B0604020202020204" pitchFamily="34" charset="0"/>
              </a:rPr>
              <a:t>Nombre</a:t>
            </a:r>
            <a:r>
              <a:rPr lang="fr-CA" b="1" baseline="0">
                <a:solidFill>
                  <a:sysClr val="windowText" lastClr="000000"/>
                </a:solidFill>
                <a:latin typeface="Arial" panose="020B0604020202020204" pitchFamily="34" charset="0"/>
                <a:cs typeface="Arial" panose="020B0604020202020204" pitchFamily="34" charset="0"/>
              </a:rPr>
              <a:t> de population âgée de 50 ans et plus, Québec, 2011</a:t>
            </a:r>
            <a:endParaRPr lang="fr-CA"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0756136968580192"/>
          <c:y val="8.6626766351175805E-2"/>
          <c:w val="0.86737311818021157"/>
          <c:h val="0.79407758689254748"/>
        </c:manualLayout>
      </c:layout>
      <c:barChart>
        <c:barDir val="col"/>
        <c:grouping val="clustered"/>
        <c:varyColors val="0"/>
        <c:ser>
          <c:idx val="0"/>
          <c:order val="0"/>
          <c:tx>
            <c:strRef>
              <c:f>Feuil1!$B$1</c:f>
              <c:strCache>
                <c:ptCount val="1"/>
                <c:pt idx="0">
                  <c:v>Hommes</c:v>
                </c:pt>
              </c:strCache>
            </c:strRef>
          </c:tx>
          <c:spPr>
            <a:solidFill>
              <a:schemeClr val="accent1"/>
            </a:solidFill>
            <a:ln>
              <a:noFill/>
            </a:ln>
            <a:effectLst/>
          </c:spPr>
          <c:invertIfNegative val="0"/>
          <c:cat>
            <c:strRef>
              <c:f>Feuil1!$A$2:$A$12</c:f>
              <c:strCache>
                <c:ptCount val="11"/>
                <c:pt idx="0">
                  <c:v>50-54 ans</c:v>
                </c:pt>
                <c:pt idx="1">
                  <c:v>55-59 ans</c:v>
                </c:pt>
                <c:pt idx="2">
                  <c:v>60-64 ans</c:v>
                </c:pt>
                <c:pt idx="3">
                  <c:v>65-69 ans</c:v>
                </c:pt>
                <c:pt idx="4">
                  <c:v>70-74 ans</c:v>
                </c:pt>
                <c:pt idx="5">
                  <c:v>75-79 ans</c:v>
                </c:pt>
                <c:pt idx="6">
                  <c:v>80-84 ans</c:v>
                </c:pt>
                <c:pt idx="7">
                  <c:v>85-89 ans</c:v>
                </c:pt>
                <c:pt idx="8">
                  <c:v>90-94 ans</c:v>
                </c:pt>
                <c:pt idx="9">
                  <c:v>95-99 ans</c:v>
                </c:pt>
                <c:pt idx="10">
                  <c:v>100 ans et plus</c:v>
                </c:pt>
              </c:strCache>
            </c:strRef>
          </c:cat>
          <c:val>
            <c:numRef>
              <c:f>Feuil1!$B$2:$B$12</c:f>
              <c:numCache>
                <c:formatCode>#,##0</c:formatCode>
                <c:ptCount val="11"/>
                <c:pt idx="0">
                  <c:v>319320</c:v>
                </c:pt>
                <c:pt idx="1">
                  <c:v>282778</c:v>
                </c:pt>
                <c:pt idx="2">
                  <c:v>244007</c:v>
                </c:pt>
                <c:pt idx="3">
                  <c:v>193474</c:v>
                </c:pt>
                <c:pt idx="4">
                  <c:v>135569</c:v>
                </c:pt>
                <c:pt idx="5">
                  <c:v>102147</c:v>
                </c:pt>
                <c:pt idx="6">
                  <c:v>69424</c:v>
                </c:pt>
                <c:pt idx="7">
                  <c:v>36108</c:v>
                </c:pt>
                <c:pt idx="8">
                  <c:v>11212</c:v>
                </c:pt>
                <c:pt idx="9">
                  <c:v>2379</c:v>
                </c:pt>
                <c:pt idx="10" formatCode="General">
                  <c:v>303</c:v>
                </c:pt>
              </c:numCache>
            </c:numRef>
          </c:val>
        </c:ser>
        <c:ser>
          <c:idx val="1"/>
          <c:order val="1"/>
          <c:tx>
            <c:strRef>
              <c:f>Feuil1!$C$1</c:f>
              <c:strCache>
                <c:ptCount val="1"/>
                <c:pt idx="0">
                  <c:v>Femmes</c:v>
                </c:pt>
              </c:strCache>
            </c:strRef>
          </c:tx>
          <c:spPr>
            <a:solidFill>
              <a:schemeClr val="accent2"/>
            </a:solidFill>
            <a:ln>
              <a:noFill/>
            </a:ln>
            <a:effectLst/>
          </c:spPr>
          <c:invertIfNegative val="0"/>
          <c:cat>
            <c:strRef>
              <c:f>Feuil1!$A$2:$A$12</c:f>
              <c:strCache>
                <c:ptCount val="11"/>
                <c:pt idx="0">
                  <c:v>50-54 ans</c:v>
                </c:pt>
                <c:pt idx="1">
                  <c:v>55-59 ans</c:v>
                </c:pt>
                <c:pt idx="2">
                  <c:v>60-64 ans</c:v>
                </c:pt>
                <c:pt idx="3">
                  <c:v>65-69 ans</c:v>
                </c:pt>
                <c:pt idx="4">
                  <c:v>70-74 ans</c:v>
                </c:pt>
                <c:pt idx="5">
                  <c:v>75-79 ans</c:v>
                </c:pt>
                <c:pt idx="6">
                  <c:v>80-84 ans</c:v>
                </c:pt>
                <c:pt idx="7">
                  <c:v>85-89 ans</c:v>
                </c:pt>
                <c:pt idx="8">
                  <c:v>90-94 ans</c:v>
                </c:pt>
                <c:pt idx="9">
                  <c:v>95-99 ans</c:v>
                </c:pt>
                <c:pt idx="10">
                  <c:v>100 ans et plus</c:v>
                </c:pt>
              </c:strCache>
            </c:strRef>
          </c:cat>
          <c:val>
            <c:numRef>
              <c:f>Feuil1!$C$2:$C$12</c:f>
              <c:numCache>
                <c:formatCode>#,##0</c:formatCode>
                <c:ptCount val="11"/>
                <c:pt idx="0">
                  <c:v>320442</c:v>
                </c:pt>
                <c:pt idx="1">
                  <c:v>291905</c:v>
                </c:pt>
                <c:pt idx="2">
                  <c:v>256650</c:v>
                </c:pt>
                <c:pt idx="3">
                  <c:v>209624</c:v>
                </c:pt>
                <c:pt idx="4">
                  <c:v>152718</c:v>
                </c:pt>
                <c:pt idx="5">
                  <c:v>127465</c:v>
                </c:pt>
                <c:pt idx="6">
                  <c:v>103684</c:v>
                </c:pt>
                <c:pt idx="7">
                  <c:v>68643</c:v>
                </c:pt>
                <c:pt idx="8">
                  <c:v>30225</c:v>
                </c:pt>
                <c:pt idx="9">
                  <c:v>9105</c:v>
                </c:pt>
                <c:pt idx="10">
                  <c:v>1470</c:v>
                </c:pt>
              </c:numCache>
            </c:numRef>
          </c:val>
        </c:ser>
        <c:dLbls>
          <c:showLegendKey val="0"/>
          <c:showVal val="0"/>
          <c:showCatName val="0"/>
          <c:showSerName val="0"/>
          <c:showPercent val="0"/>
          <c:showBubbleSize val="0"/>
        </c:dLbls>
        <c:gapWidth val="219"/>
        <c:overlap val="-27"/>
        <c:axId val="340242760"/>
        <c:axId val="340244720"/>
      </c:barChart>
      <c:catAx>
        <c:axId val="340242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244720"/>
        <c:crosses val="autoZero"/>
        <c:auto val="1"/>
        <c:lblAlgn val="ctr"/>
        <c:lblOffset val="100"/>
        <c:noMultiLvlLbl val="0"/>
      </c:catAx>
      <c:valAx>
        <c:axId val="340244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242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78267307888772431"/>
          <c:y val="0.60195897387826514"/>
          <c:w val="0.21683276135413396"/>
          <c:h val="3.29616610423697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fr-CA" sz="1400">
                <a:latin typeface="Arial" panose="020B0604020202020204" pitchFamily="34" charset="0"/>
                <a:cs typeface="Arial" panose="020B0604020202020204" pitchFamily="34" charset="0"/>
              </a:rPr>
              <a:t>Pourcentage de la population selon l'âge, Outaouais et Québec, 2015</a:t>
            </a:r>
          </a:p>
        </c:rich>
      </c:tx>
      <c:layout>
        <c:manualLayout>
          <c:xMode val="edge"/>
          <c:yMode val="edge"/>
          <c:x val="0.12505166329309778"/>
          <c:y val="1.9226590969994656E-2"/>
        </c:manualLayout>
      </c:layout>
      <c:overlay val="0"/>
      <c:spPr>
        <a:noFill/>
        <a:ln>
          <a:noFill/>
        </a:ln>
        <a:effectLst/>
      </c:spPr>
    </c:title>
    <c:autoTitleDeleted val="0"/>
    <c:plotArea>
      <c:layout>
        <c:manualLayout>
          <c:layoutTarget val="inner"/>
          <c:xMode val="edge"/>
          <c:yMode val="edge"/>
          <c:x val="0.10672554198256815"/>
          <c:y val="0.16196533639062294"/>
          <c:w val="0.8722260498687664"/>
          <c:h val="0.67133202099737532"/>
        </c:manualLayout>
      </c:layout>
      <c:barChart>
        <c:barDir val="col"/>
        <c:grouping val="clustered"/>
        <c:varyColors val="0"/>
        <c:ser>
          <c:idx val="0"/>
          <c:order val="0"/>
          <c:tx>
            <c:strRef>
              <c:f>Feuil1!$B$1</c:f>
              <c:strCache>
                <c:ptCount val="1"/>
                <c:pt idx="0">
                  <c:v>Outaouais</c:v>
                </c:pt>
              </c:strCache>
            </c:strRef>
          </c:tx>
          <c:spPr>
            <a:solidFill>
              <a:schemeClr val="accent1"/>
            </a:solidFill>
            <a:ln>
              <a:noFill/>
            </a:ln>
            <a:effectLst/>
          </c:spPr>
          <c:invertIfNegative val="0"/>
          <c:dLbls>
            <c:dLbl>
              <c:idx val="0"/>
              <c:layout>
                <c:manualLayout>
                  <c:x val="-4.5239703498084994E-3"/>
                  <c:y val="5.872948686682943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1805237660357064E-3"/>
                  <c:y val="1.07403181935827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7733620312337888E-3"/>
                  <c:y val="3.499624846644970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00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3"/>
                <c:pt idx="0">
                  <c:v>50 ans et plus</c:v>
                </c:pt>
                <c:pt idx="1">
                  <c:v>60 ans et plus</c:v>
                </c:pt>
                <c:pt idx="2">
                  <c:v>65 ans et plus</c:v>
                </c:pt>
              </c:strCache>
            </c:strRef>
          </c:cat>
          <c:val>
            <c:numRef>
              <c:f>Feuil1!$B$2:$B$5</c:f>
              <c:numCache>
                <c:formatCode>0.00%</c:formatCode>
                <c:ptCount val="3"/>
                <c:pt idx="0">
                  <c:v>0.37219999999999998</c:v>
                </c:pt>
                <c:pt idx="1">
                  <c:v>0.21110000000000001</c:v>
                </c:pt>
                <c:pt idx="2">
                  <c:v>0.1469</c:v>
                </c:pt>
              </c:numCache>
            </c:numRef>
          </c:val>
        </c:ser>
        <c:ser>
          <c:idx val="1"/>
          <c:order val="1"/>
          <c:tx>
            <c:strRef>
              <c:f>Feuil1!$C$1</c:f>
              <c:strCache>
                <c:ptCount val="1"/>
                <c:pt idx="0">
                  <c:v>Québec</c:v>
                </c:pt>
              </c:strCache>
            </c:strRef>
          </c:tx>
          <c:spPr>
            <a:solidFill>
              <a:schemeClr val="accent2"/>
            </a:solidFill>
            <a:ln>
              <a:noFill/>
            </a:ln>
            <a:effectLst/>
          </c:spPr>
          <c:invertIfNegative val="0"/>
          <c:dLbls>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3"/>
                <c:pt idx="0">
                  <c:v>50 ans et plus</c:v>
                </c:pt>
                <c:pt idx="1">
                  <c:v>60 ans et plus</c:v>
                </c:pt>
                <c:pt idx="2">
                  <c:v>65 ans et plus</c:v>
                </c:pt>
              </c:strCache>
            </c:strRef>
          </c:cat>
          <c:val>
            <c:numRef>
              <c:f>Feuil1!$C$2:$C$5</c:f>
              <c:numCache>
                <c:formatCode>0.00%</c:formatCode>
                <c:ptCount val="3"/>
                <c:pt idx="0">
                  <c:v>0.39550000000000002</c:v>
                </c:pt>
                <c:pt idx="1">
                  <c:v>0.24199999999999999</c:v>
                </c:pt>
                <c:pt idx="2">
                  <c:v>0.17580000000000001</c:v>
                </c:pt>
              </c:numCache>
            </c:numRef>
          </c:val>
        </c:ser>
        <c:dLbls>
          <c:dLblPos val="outEnd"/>
          <c:showLegendKey val="0"/>
          <c:showVal val="1"/>
          <c:showCatName val="0"/>
          <c:showSerName val="0"/>
          <c:showPercent val="0"/>
          <c:showBubbleSize val="0"/>
        </c:dLbls>
        <c:gapWidth val="219"/>
        <c:overlap val="-27"/>
        <c:axId val="340245504"/>
        <c:axId val="337566504"/>
        <c:extLst>
          <c:ext xmlns:c15="http://schemas.microsoft.com/office/drawing/2012/chart" uri="{02D57815-91ED-43cb-92C2-25804820EDAC}">
            <c15:filteredBarSeries>
              <c15:ser>
                <c:idx val="2"/>
                <c:order val="2"/>
                <c:tx>
                  <c:strRef>
                    <c:extLst>
                      <c:ext uri="{02D57815-91ED-43cb-92C2-25804820EDAC}">
                        <c15:formulaRef>
                          <c15:sqref>Feuil1!$D$1</c15:sqref>
                        </c15:formulaRef>
                      </c:ext>
                    </c:extLst>
                    <c:strCache>
                      <c:ptCount val="1"/>
                      <c:pt idx="0">
                        <c:v>Colonne1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Feuil1!$A$2:$A$5</c15:sqref>
                        </c15:formulaRef>
                      </c:ext>
                    </c:extLst>
                    <c:strCache>
                      <c:ptCount val="3"/>
                      <c:pt idx="0">
                        <c:v>50 ans et plus</c:v>
                      </c:pt>
                      <c:pt idx="1">
                        <c:v>60 ans et plus</c:v>
                      </c:pt>
                      <c:pt idx="2">
                        <c:v>65 ans et plus</c:v>
                      </c:pt>
                    </c:strCache>
                  </c:strRef>
                </c:cat>
                <c:val>
                  <c:numRef>
                    <c:extLst>
                      <c:ext uri="{02D57815-91ED-43cb-92C2-25804820EDAC}">
                        <c15:formulaRef>
                          <c15:sqref>Feuil1!$D$2:$D$5</c15:sqref>
                        </c15:formulaRef>
                      </c:ext>
                    </c:extLst>
                    <c:numCache>
                      <c:formatCode>General</c:formatCode>
                      <c:ptCount val="3"/>
                    </c:numCache>
                  </c:numRef>
                </c:val>
              </c15:ser>
            </c15:filteredBarSeries>
          </c:ext>
        </c:extLst>
      </c:barChart>
      <c:catAx>
        <c:axId val="34024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337566504"/>
        <c:crosses val="autoZero"/>
        <c:auto val="1"/>
        <c:lblAlgn val="ctr"/>
        <c:lblOffset val="100"/>
        <c:noMultiLvlLbl val="0"/>
      </c:catAx>
      <c:valAx>
        <c:axId val="337566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latin typeface="Arial" panose="020B0604020202020204" pitchFamily="34" charset="0"/>
                <a:cs typeface="Arial" panose="020B0604020202020204" pitchFamily="34" charset="0"/>
              </a:defRPr>
            </a:pPr>
            <a:endParaRPr lang="en-US"/>
          </a:p>
        </c:txPr>
        <c:crossAx val="340245504"/>
        <c:crosses val="autoZero"/>
        <c:crossBetween val="between"/>
      </c:valAx>
      <c:spPr>
        <a:noFill/>
        <a:ln>
          <a:noFill/>
        </a:ln>
        <a:effectLst/>
      </c:spPr>
    </c:plotArea>
    <c:legend>
      <c:legendPos val="b"/>
      <c:overlay val="0"/>
      <c:spPr>
        <a:noFill/>
        <a:ln>
          <a:noFill/>
        </a:ln>
        <a:effectLst/>
      </c:spPr>
      <c:txPr>
        <a:bodyPr rot="0" vert="horz"/>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solidFill>
      <a:sysClr val="window" lastClr="FFFFFF"/>
    </a:solidFill>
    <a:ln w="22225" cap="rnd"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dk1"/>
                </a:solidFill>
                <a:latin typeface="+mn-lt"/>
                <a:ea typeface="+mn-ea"/>
                <a:cs typeface="+mn-cs"/>
              </a:defRPr>
            </a:pPr>
            <a:r>
              <a:rPr lang="fr-CA" b="1">
                <a:latin typeface="Arial" panose="020B0604020202020204" pitchFamily="34" charset="0"/>
                <a:cs typeface="Arial" panose="020B0604020202020204" pitchFamily="34" charset="0"/>
              </a:rPr>
              <a:t>Pourcentages d'individus selon l'âge: l'Outaouais,</a:t>
            </a:r>
            <a:r>
              <a:rPr lang="fr-CA" b="1" baseline="0">
                <a:latin typeface="Arial" panose="020B0604020202020204" pitchFamily="34" charset="0"/>
                <a:cs typeface="Arial" panose="020B0604020202020204" pitchFamily="34" charset="0"/>
              </a:rPr>
              <a:t> </a:t>
            </a:r>
            <a:r>
              <a:rPr lang="fr-CA" b="1">
                <a:latin typeface="Arial" panose="020B0604020202020204" pitchFamily="34" charset="0"/>
                <a:cs typeface="Arial" panose="020B0604020202020204" pitchFamily="34" charset="0"/>
              </a:rPr>
              <a:t>les</a:t>
            </a:r>
            <a:r>
              <a:rPr lang="fr-CA" b="1" baseline="0">
                <a:latin typeface="Arial" panose="020B0604020202020204" pitchFamily="34" charset="0"/>
                <a:cs typeface="Arial" panose="020B0604020202020204" pitchFamily="34" charset="0"/>
              </a:rPr>
              <a:t> cinq </a:t>
            </a:r>
            <a:r>
              <a:rPr lang="fr-CA" b="1">
                <a:latin typeface="Arial" panose="020B0604020202020204" pitchFamily="34" charset="0"/>
                <a:cs typeface="Arial" panose="020B0604020202020204" pitchFamily="34" charset="0"/>
              </a:rPr>
              <a:t>municipalités régionales de comté (MRC) et le Québec,</a:t>
            </a:r>
            <a:r>
              <a:rPr lang="fr-CA" b="1" baseline="0">
                <a:latin typeface="Arial" panose="020B0604020202020204" pitchFamily="34" charset="0"/>
                <a:cs typeface="Arial" panose="020B0604020202020204" pitchFamily="34" charset="0"/>
              </a:rPr>
              <a:t> 2015</a:t>
            </a:r>
            <a:endParaRPr lang="fr-CA" b="1">
              <a:latin typeface="Arial" panose="020B0604020202020204" pitchFamily="34" charset="0"/>
              <a:cs typeface="Arial" panose="020B0604020202020204" pitchFamily="34" charset="0"/>
            </a:endParaRPr>
          </a:p>
          <a:p>
            <a:pPr algn="ctr">
              <a:defRPr sz="1400" b="0" i="0" u="none" strike="noStrike" kern="1200" spc="0" baseline="0">
                <a:solidFill>
                  <a:schemeClr val="dk1"/>
                </a:solidFill>
                <a:latin typeface="+mn-lt"/>
                <a:ea typeface="+mn-ea"/>
                <a:cs typeface="+mn-cs"/>
              </a:defRPr>
            </a:pPr>
            <a:endParaRPr lang="fr-CA"/>
          </a:p>
        </c:rich>
      </c:tx>
      <c:layout>
        <c:manualLayout>
          <c:xMode val="edge"/>
          <c:yMode val="edge"/>
          <c:x val="0.11529378734227008"/>
          <c:y val="5.1024607028228128E-2"/>
        </c:manualLayout>
      </c:layout>
      <c:overlay val="0"/>
      <c:spPr>
        <a:noFill/>
        <a:ln>
          <a:noFill/>
        </a:ln>
        <a:effectLst/>
      </c:spPr>
    </c:title>
    <c:autoTitleDeleted val="0"/>
    <c:plotArea>
      <c:layout>
        <c:manualLayout>
          <c:layoutTarget val="inner"/>
          <c:xMode val="edge"/>
          <c:yMode val="edge"/>
          <c:x val="7.4337218000034275E-2"/>
          <c:y val="0.22471158669118876"/>
          <c:w val="0.91357672930477596"/>
          <c:h val="0.45032576913506944"/>
        </c:manualLayout>
      </c:layout>
      <c:barChart>
        <c:barDir val="col"/>
        <c:grouping val="clustered"/>
        <c:varyColors val="0"/>
        <c:ser>
          <c:idx val="0"/>
          <c:order val="0"/>
          <c:tx>
            <c:strRef>
              <c:f>Feuil1!$B$1</c:f>
              <c:strCache>
                <c:ptCount val="1"/>
                <c:pt idx="0">
                  <c:v>50 ans et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Outaouais</c:v>
                </c:pt>
                <c:pt idx="1">
                  <c:v>Gatineau</c:v>
                </c:pt>
                <c:pt idx="2">
                  <c:v>Vallée-de-la-Gatineau</c:v>
                </c:pt>
                <c:pt idx="3">
                  <c:v>Collines-de-l'Outouais</c:v>
                </c:pt>
                <c:pt idx="4">
                  <c:v>Pontiac</c:v>
                </c:pt>
                <c:pt idx="5">
                  <c:v>Papineau</c:v>
                </c:pt>
                <c:pt idx="6">
                  <c:v>Québec</c:v>
                </c:pt>
              </c:strCache>
            </c:strRef>
          </c:cat>
          <c:val>
            <c:numRef>
              <c:f>Feuil1!$B$2:$B$8</c:f>
              <c:numCache>
                <c:formatCode>General</c:formatCode>
                <c:ptCount val="7"/>
                <c:pt idx="0">
                  <c:v>37.32</c:v>
                </c:pt>
                <c:pt idx="1">
                  <c:v>34.659999999999997</c:v>
                </c:pt>
                <c:pt idx="2">
                  <c:v>50.6</c:v>
                </c:pt>
                <c:pt idx="3">
                  <c:v>35.869999999999997</c:v>
                </c:pt>
                <c:pt idx="4">
                  <c:v>49.84</c:v>
                </c:pt>
                <c:pt idx="5">
                  <c:v>53.21</c:v>
                </c:pt>
                <c:pt idx="6">
                  <c:v>39.549999999999997</c:v>
                </c:pt>
              </c:numCache>
            </c:numRef>
          </c:val>
        </c:ser>
        <c:ser>
          <c:idx val="1"/>
          <c:order val="1"/>
          <c:tx>
            <c:strRef>
              <c:f>Feuil1!$C$1</c:f>
              <c:strCache>
                <c:ptCount val="1"/>
                <c:pt idx="0">
                  <c:v>60 ans et +</c:v>
                </c:pt>
              </c:strCache>
            </c:strRef>
          </c:tx>
          <c:spPr>
            <a:solidFill>
              <a:schemeClr val="accent2"/>
            </a:solidFill>
            <a:ln>
              <a:noFill/>
            </a:ln>
            <a:effectLst/>
          </c:spPr>
          <c:invertIfNegative val="0"/>
          <c:dLbls>
            <c:dLbl>
              <c:idx val="0"/>
              <c:layout>
                <c:manualLayout>
                  <c:x val="1.2086052695189729E-2"/>
                  <c:y val="-6.1304536189763545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9.6688421561517569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4701630654999878E-2"/>
                  <c:y val="9.3033513838183812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7.3604060913705582E-2"/>
                      <c:h val="4.1805721096543506E-2"/>
                    </c:manualLayout>
                  </c15:layout>
                </c:ext>
              </c:extLst>
            </c:dLbl>
            <c:dLbl>
              <c:idx val="3"/>
              <c:layout>
                <c:manualLayout>
                  <c:x val="1.2086052695189751E-2"/>
                  <c:y val="-2.979737783075143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50326323422770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4701630654999836E-2"/>
                  <c:y val="-5.462789495693918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668842156151800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Outaouais</c:v>
                </c:pt>
                <c:pt idx="1">
                  <c:v>Gatineau</c:v>
                </c:pt>
                <c:pt idx="2">
                  <c:v>Vallée-de-la-Gatineau</c:v>
                </c:pt>
                <c:pt idx="3">
                  <c:v>Collines-de-l'Outouais</c:v>
                </c:pt>
                <c:pt idx="4">
                  <c:v>Pontiac</c:v>
                </c:pt>
                <c:pt idx="5">
                  <c:v>Papineau</c:v>
                </c:pt>
                <c:pt idx="6">
                  <c:v>Québec</c:v>
                </c:pt>
              </c:strCache>
            </c:strRef>
          </c:cat>
          <c:val>
            <c:numRef>
              <c:f>Feuil1!$C$2:$C$8</c:f>
              <c:numCache>
                <c:formatCode>General</c:formatCode>
                <c:ptCount val="7"/>
                <c:pt idx="0">
                  <c:v>21.11</c:v>
                </c:pt>
                <c:pt idx="1">
                  <c:v>19.32</c:v>
                </c:pt>
                <c:pt idx="2">
                  <c:v>31.36</c:v>
                </c:pt>
                <c:pt idx="3">
                  <c:v>18.010000000000002</c:v>
                </c:pt>
                <c:pt idx="4">
                  <c:v>32.06</c:v>
                </c:pt>
                <c:pt idx="5">
                  <c:v>33.71</c:v>
                </c:pt>
                <c:pt idx="6">
                  <c:v>24.2</c:v>
                </c:pt>
              </c:numCache>
            </c:numRef>
          </c:val>
        </c:ser>
        <c:ser>
          <c:idx val="2"/>
          <c:order val="2"/>
          <c:tx>
            <c:strRef>
              <c:f>Feuil1!$D$1</c:f>
              <c:strCache>
                <c:ptCount val="1"/>
                <c:pt idx="0">
                  <c:v>65 ans et +</c:v>
                </c:pt>
              </c:strCache>
            </c:strRef>
          </c:tx>
          <c:spPr>
            <a:solidFill>
              <a:schemeClr val="accent3"/>
            </a:solidFill>
            <a:ln>
              <a:noFill/>
            </a:ln>
            <a:effectLst/>
          </c:spPr>
          <c:invertIfNegative val="0"/>
          <c:dLbls>
            <c:dLbl>
              <c:idx val="0"/>
              <c:layout>
                <c:manualLayout>
                  <c:x val="1.2086052695189729E-2"/>
                  <c:y val="6.323613600743292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086052695189706E-2"/>
                  <c:y val="3.343922420999771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08605269518975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2086052695189751E-2"/>
                  <c:y val="6.687844841999665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50326323422770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6920473773265651E-2"/>
                  <c:y val="3.3438758176682027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7.3604060913705582E-2"/>
                      <c:h val="4.6915231566627656E-2"/>
                    </c:manualLayout>
                  </c15:layout>
                </c:ext>
              </c:extLst>
            </c:dLbl>
            <c:dLbl>
              <c:idx val="6"/>
              <c:layout>
                <c:manualLayout>
                  <c:x val="9.668842156151800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Outaouais</c:v>
                </c:pt>
                <c:pt idx="1">
                  <c:v>Gatineau</c:v>
                </c:pt>
                <c:pt idx="2">
                  <c:v>Vallée-de-la-Gatineau</c:v>
                </c:pt>
                <c:pt idx="3">
                  <c:v>Collines-de-l'Outouais</c:v>
                </c:pt>
                <c:pt idx="4">
                  <c:v>Pontiac</c:v>
                </c:pt>
                <c:pt idx="5">
                  <c:v>Papineau</c:v>
                </c:pt>
                <c:pt idx="6">
                  <c:v>Québec</c:v>
                </c:pt>
              </c:strCache>
            </c:strRef>
          </c:cat>
          <c:val>
            <c:numRef>
              <c:f>Feuil1!$D$2:$D$8</c:f>
              <c:numCache>
                <c:formatCode>General</c:formatCode>
                <c:ptCount val="7"/>
                <c:pt idx="0">
                  <c:v>14.69</c:v>
                </c:pt>
                <c:pt idx="1">
                  <c:v>13.51</c:v>
                </c:pt>
                <c:pt idx="2">
                  <c:v>22.16</c:v>
                </c:pt>
                <c:pt idx="3">
                  <c:v>11.45</c:v>
                </c:pt>
                <c:pt idx="4">
                  <c:v>23.13</c:v>
                </c:pt>
                <c:pt idx="5">
                  <c:v>24.21</c:v>
                </c:pt>
                <c:pt idx="6">
                  <c:v>17.579999999999998</c:v>
                </c:pt>
              </c:numCache>
            </c:numRef>
          </c:val>
        </c:ser>
        <c:dLbls>
          <c:dLblPos val="outEnd"/>
          <c:showLegendKey val="0"/>
          <c:showVal val="1"/>
          <c:showCatName val="0"/>
          <c:showSerName val="0"/>
          <c:showPercent val="0"/>
          <c:showBubbleSize val="0"/>
        </c:dLbls>
        <c:gapWidth val="219"/>
        <c:overlap val="-27"/>
        <c:axId val="337569248"/>
        <c:axId val="337570032"/>
      </c:barChart>
      <c:catAx>
        <c:axId val="33756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337570032"/>
        <c:crosses val="autoZero"/>
        <c:auto val="1"/>
        <c:lblAlgn val="ctr"/>
        <c:lblOffset val="100"/>
        <c:noMultiLvlLbl val="0"/>
      </c:catAx>
      <c:valAx>
        <c:axId val="33757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37569248"/>
        <c:crosses val="autoZero"/>
        <c:crossBetween val="between"/>
      </c:valAx>
      <c:spPr>
        <a:noFill/>
        <a:ln>
          <a:noFill/>
        </a:ln>
        <a:effectLst/>
      </c:spPr>
    </c:plotArea>
    <c:legend>
      <c:legendPos val="b"/>
      <c:layout>
        <c:manualLayout>
          <c:xMode val="edge"/>
          <c:yMode val="edge"/>
          <c:x val="0.24551419822641343"/>
          <c:y val="0.88848602590629577"/>
          <c:w val="0.47222264810779041"/>
          <c:h val="4.95014218276350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22225" cap="rnd"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word/theme/themeOverride2.xml><?xml version="1.0" encoding="utf-8"?>
<a:themeOverride xmlns:a="http://schemas.openxmlformats.org/drawingml/2006/main">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word/theme/themeOverride3.xml><?xml version="1.0" encoding="utf-8"?>
<a:themeOverride xmlns:a="http://schemas.openxmlformats.org/drawingml/2006/main">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word/theme/themeOverride4.xml><?xml version="1.0" encoding="utf-8"?>
<a:themeOverride xmlns:a="http://schemas.openxmlformats.org/drawingml/2006/main">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word/theme/themeOverride5.xml><?xml version="1.0" encoding="utf-8"?>
<a:themeOverride xmlns:a="http://schemas.openxmlformats.org/drawingml/2006/main">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word/theme/themeOverride6.xml><?xml version="1.0" encoding="utf-8"?>
<a:themeOverride xmlns:a="http://schemas.openxmlformats.org/drawingml/2006/main">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A2D3-1DAD-440E-BE86-D384E52C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2119</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TCARO</dc:creator>
  <cp:keywords/>
  <dc:description/>
  <cp:lastModifiedBy>Mylaine</cp:lastModifiedBy>
  <cp:revision>3</cp:revision>
  <dcterms:created xsi:type="dcterms:W3CDTF">2016-11-11T18:08:00Z</dcterms:created>
  <dcterms:modified xsi:type="dcterms:W3CDTF">2016-11-11T18:08:00Z</dcterms:modified>
</cp:coreProperties>
</file>